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Solution Requirements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Date</w:t>
            </w:r>
          </w:p>
        </w:tc>
        <w:tc>
          <w:tcPr>
            <w:tcW w:type="dxa" w:w="7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13 July 2026</w:t>
            </w:r>
          </w:p>
        </w:tc>
      </w:tr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Team ID</w:t>
            </w:r>
          </w:p>
        </w:tc>
        <w:tc>
          <w:tcPr>
            <w:tcW w:type="dxa" w:w="7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Project Name</w:t>
            </w:r>
          </w:p>
        </w:tc>
        <w:tc>
          <w:tcPr>
            <w:tcW w:type="dxa" w:w="7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 Comprehensive Measure of Well Being (Human Development Index)</w:t>
            </w:r>
          </w:p>
        </w:tc>
      </w:tr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Maximum Marks</w:t>
            </w:r>
          </w:p>
        </w:tc>
        <w:tc>
          <w:tcPr>
            <w:tcW w:type="dxa" w:w="7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4 Marks</w:t>
            </w:r>
          </w:p>
        </w:tc>
      </w:tr>
    </w:tbl>
    <w:p>
      <w:pPr>
        <w:spacing w:after="150" w:before="300"/>
      </w:pPr>
      <w:r>
        <w:rPr>
          <w:b/>
          <w:bCs/>
          <w:sz w:val="24"/>
          <w:szCs w:val="24"/>
        </w:rPr>
        <w:t xml:space="preserve">Define Functional and Non-Functional Requirements:</w:t>
      </w:r>
    </w:p>
    <w:p>
      <w:pPr>
        <w:spacing w:after="150" w:before="200"/>
      </w:pPr>
      <w:r>
        <w:rPr>
          <w:b/>
          <w:bCs/>
          <w:sz w:val="22"/>
          <w:szCs w:val="22"/>
        </w:rPr>
        <w:t xml:space="preserve">Step 1: Functional Requirements (FR)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5000"/>
        <w:gridCol w:w="1900"/>
      </w:tblGrid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Requirement Category</w:t>
            </w:r>
          </w:p>
        </w:tc>
        <w:tc>
          <w:tcPr>
            <w:tcW w:type="dxa" w:w="5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Requirement Description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(High/Medium/Low)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Authentication</w:t>
            </w:r>
          </w:p>
        </w:tc>
        <w:tc>
          <w:tcPr>
            <w:tcW w:type="dxa" w:w="5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Users (policymakers, researchers, students) log in with an email and password; optional Google sign-in for quick access.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Authorization levels</w:t>
            </w:r>
          </w:p>
        </w:tc>
        <w:tc>
          <w:tcPr>
            <w:tcW w:type="dxa" w:w="5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Two roles: Standard User (can input indicators and view predictions) and Admin (can update reference datasets and manage users).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External interfaces</w:t>
            </w:r>
          </w:p>
        </w:tc>
        <w:tc>
          <w:tcPr>
            <w:tcW w:type="dxa" w:w="5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Integrates with the UNDP Human Development Report API / World Bank Open Data API to fetch reference indicator values and benchmarks.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Transactions processing</w:t>
            </w:r>
          </w:p>
        </w:tc>
        <w:tc>
          <w:tcPr>
            <w:tcW w:type="dxa" w:w="5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Each prediction request (life expectancy, education, income inputs) is processed synchronously and the HDI score/tier is returned within seconds.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Reporting</w:t>
            </w:r>
          </w:p>
        </w:tc>
        <w:tc>
          <w:tcPr>
            <w:tcW w:type="dxa" w:w="5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Generates a downloadable PDF report per country showing the predicted HDI tier, component scores, and comparison to global benchmarks.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Business rules, etc.</w:t>
            </w:r>
          </w:p>
        </w:tc>
        <w:tc>
          <w:tcPr>
            <w:tcW w:type="dxa" w:w="5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HDI tier thresholds (Very High/High/Medium/Low) follow the official UNDP classification cut-offs; inputs outside valid ranges are rejected.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Compliance to laws or regulations</w:t>
            </w:r>
          </w:p>
        </w:tc>
        <w:tc>
          <w:tcPr>
            <w:tcW w:type="dxa" w:w="5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Only publicly available, non-personal country-level statistics are processed; no personal data protection regulations apply beyond user account data.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Low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Other</w:t>
            </w:r>
          </w:p>
        </w:tc>
        <w:tc>
          <w:tcPr>
            <w:tcW w:type="dxa" w:w="5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Ability to compare two or more countries' predicted HDI side by side.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Low</w:t>
            </w:r>
          </w:p>
        </w:tc>
      </w:tr>
    </w:tbl>
    <w:p>
      <w:pPr>
        <w:spacing w:before="300"/>
      </w:pPr>
    </w:p>
    <w:p>
      <w:pPr>
        <w:spacing w:after="150" w:before="200"/>
      </w:pPr>
      <w:r>
        <w:rPr>
          <w:b/>
          <w:bCs/>
          <w:sz w:val="22"/>
          <w:szCs w:val="22"/>
        </w:rPr>
        <w:t xml:space="preserve">Step 2: Non-Functional Requirements (NFR)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5000"/>
        <w:gridCol w:w="1900"/>
      </w:tblGrid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NFR Category</w:t>
            </w:r>
          </w:p>
        </w:tc>
        <w:tc>
          <w:tcPr>
            <w:tcW w:type="dxa" w:w="5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Requirement Description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Target Metric /</w:t>
            </w:r>
          </w:p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Acceptance Criteria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Performance &amp; Speed</w:t>
            </w:r>
          </w:p>
        </w:tc>
        <w:tc>
          <w:tcPr>
            <w:tcW w:type="dxa" w:w="5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HDI prediction results should return quickly after the user submits indicator values.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Prediction returned in &lt; 2 seconds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Scalability</w:t>
            </w:r>
          </w:p>
        </w:tc>
        <w:tc>
          <w:tcPr>
            <w:tcW w:type="dxa" w:w="5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system should handle simultaneous use by many researchers and policymakers during peak usage (e.g., report deadlines).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Supports up to 5,000 concurrent users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Security &amp; Data Privacy</w:t>
            </w:r>
          </w:p>
        </w:tc>
        <w:tc>
          <w:tcPr>
            <w:tcW w:type="dxa" w:w="5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User account data and API credentials must be protected in transit and at rest.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TLS 1.2+ in transit, AES-256 at rest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Reliability &amp; Availability</w:t>
            </w:r>
          </w:p>
        </w:tc>
        <w:tc>
          <w:tcPr>
            <w:tcW w:type="dxa" w:w="5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service should remain available for continuous research and policy use.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99.5% uptime per month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Usability &amp; Accessibility</w:t>
            </w:r>
          </w:p>
        </w:tc>
        <w:tc>
          <w:tcPr>
            <w:tcW w:type="dxa" w:w="5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interface should be usable by non-technical policymakers and accessible to users with disabilities.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Complies with WCAG 2.1 AA standards</w:t>
            </w:r>
          </w:p>
        </w:tc>
      </w:tr>
      <w:tr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Other</w:t>
            </w:r>
          </w:p>
        </w:tc>
        <w:tc>
          <w:tcPr>
            <w:tcW w:type="dxa" w:w="5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system should be easy to extend with new indicators or updated UNDP formulas.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New indicator can be added without code rewrite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2026-07-13T10:01:36.335Z</dcterms:created>
  <dcterms:modified xsi:type="dcterms:W3CDTF">2026-07-13T10:01:36.335Z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