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jc w:val="center"/>
      </w:pPr>
      <w:r>
        <w:rPr>
          <w:b/>
          <w:bCs/>
          <w:sz w:val="40"/>
          <w:szCs w:val="40"/>
        </w:rPr>
        <w:t xml:space="preserve">Where Do Eyes Go First?</w:t>
      </w:r>
    </w:p>
    <w:p>
      <w:pPr>
        <w:spacing w:after="60"/>
        <w:jc w:val="center"/>
      </w:pPr>
      <w:r>
        <w:rPr>
          <w:color w:val="444444"/>
          <w:sz w:val="24"/>
          <w:szCs w:val="24"/>
        </w:rPr>
        <w:t xml:space="preserve">A Data-Driven, Density-Based Analysis of Visual Attention on Graphic Design Posters</w:t>
      </w:r>
    </w:p>
    <w:p>
      <w:pPr>
        <w:spacing w:after="100"/>
        <w:jc w:val="center"/>
      </w:pPr>
      <w:r>
        <w:rPr>
          <w:i/>
          <w:iCs/>
          <w:color w:val="777777"/>
          <w:sz w:val="18"/>
          <w:szCs w:val="18"/>
        </w:rPr>
        <w:t xml:space="preserve">Eye-Tracking Study  •  48 Participants  •  DBSCAN Region Clustering</w:t>
      </w:r>
    </w:p>
    <w:p>
      <w:pPr>
        <w:pBdr>
          <w:bottom w:val="single" w:color="1F4E79" w:sz="6"/>
        </w:pBdr>
        <w:spacing w:after="300"/>
      </w:pPr>
    </w:p>
    <w:p>
      <w:pPr>
        <w:spacing w:after="160"/>
      </w:pPr>
      <w:r>
        <w:rPr>
          <w:i/>
          <w:iCs/>
          <w:color w:val="555555"/>
        </w:rPr>
        <w:t xml:space="preserve">Poster-ready content below — text is written tight for panel space; expand or trim freely to fit your layout. Suggested figures are called out at the end of each section.</w:t>
      </w:r>
    </w:p>
    <w:p>
      <w:pPr>
        <w:pStyle w:val="Heading1"/>
        <w:spacing w:after="140" w:before="300"/>
      </w:pPr>
      <w:r>
        <w:t xml:space="preserve">Introduction</w:t>
      </w:r>
    </w:p>
    <w:p>
      <w:pPr>
        <w:spacing w:after="160"/>
      </w:pPr>
      <w:r>
        <w:t xml:space="preserve">Graphic designers make constant, high-stakes bets about where a viewer's eyes will go first, and what will hold their attention long enough to register. Posters in particular are built to work in seconds: a viewer glances, decides whether to keep looking, and moves on. Yet design decisions about layout, type, and imagery are usually made on intuition and convention, not on direct evidence of how eyes actually move across a finished piece.</w:t>
      </w:r>
    </w:p>
    <w:p>
      <w:pPr>
        <w:spacing w:after="160"/>
      </w:pPr>
      <w:r>
        <w:t xml:space="preserve">This project asks a simple question with eye-tracking data instead of intuition: </w:t>
      </w:r>
      <w:r>
        <w:rPr>
          <w:b/>
          <w:bCs/>
        </w:rPr>
        <w:t xml:space="preserve">when people look at a poster, where does their attention actually go, in what order, and for how long?</w:t>
      </w:r>
      <w:r>
        <w:t xml:space="preserve"> Rather than hand-drawing "regions of interest" on each poster and hoping they match where gaze really lands, we let the gaze data itself define the regions, using a density-based clustering algorithm (DBSCAN) that finds attention hotspots wherever fixations are genuinely dense — without being told in advance how many hotspots to expect.</w:t>
      </w:r>
    </w:p>
    <w:p>
      <w:pPr>
        <w:spacing w:after="160"/>
      </w:pPr>
      <w:r>
        <w:t xml:space="preserve">We pursue this because the answer matters in two directions: practically, it gives designers evidence-based guidance on what pulls first attention and what earns sustained reading; methodologically, it tests whether a fully data-driven, unsupervised approach to defining attention regions can replace manual ROI annotation without losing interpretability.</w:t>
      </w:r>
    </w:p>
    <w:p>
      <w:pPr>
        <w:spacing w:after="160"/>
      </w:pPr>
      <w:r>
        <w:rPr>
          <w:i/>
          <w:iCs/>
          <w:color w:val="555555"/>
        </w:rPr>
        <w:t xml:space="preserve">Suggested figure: a poster thumbnail with an eye-tracking icon / gaze-path overlay, and the two study posters (Hofmann 1955, Ceck 1988) shown side by side as the analyzed cases.</w:t>
      </w:r>
    </w:p>
    <w:p>
      <w:pPr>
        <w:pStyle w:val="Heading1"/>
        <w:spacing w:after="140" w:before="300"/>
      </w:pPr>
      <w:r>
        <w:t xml:space="preserve">Methods</w:t>
      </w:r>
    </w:p>
    <w:p>
      <w:pPr>
        <w:pStyle w:val="Heading2"/>
        <w:spacing w:after="140" w:before="300"/>
      </w:pPr>
      <w:r>
        <w:t xml:space="preserve">The data</w:t>
      </w:r>
    </w:p>
    <w:p>
      <w:pPr>
        <w:spacing w:after="160"/>
      </w:pPr>
      <w:r>
        <w:t xml:space="preserve">Data came from an iMotions / Smart Eye Aurora eye-tracking study in which </w:t>
      </w:r>
      <w:r>
        <w:rPr>
          <w:b/>
          <w:bCs/>
        </w:rPr>
        <w:t xml:space="preserve">48 participants</w:t>
      </w:r>
      <w:r>
        <w:t xml:space="preserve"> each viewed a sequence of graphic design posters, </w:t>
      </w:r>
      <w:r>
        <w:rPr>
          <w:b/>
          <w:bCs/>
        </w:rPr>
        <w:t xml:space="preserve">16 seconds</w:t>
      </w:r>
      <w:r>
        <w:t xml:space="preserve"> per poster, with a brief survey between posters. For each participant, the raw export includes: (1) </w:t>
      </w:r>
      <w:r>
        <w:rPr>
          <w:b/>
          <w:bCs/>
        </w:rPr>
        <w:t xml:space="preserve">continuous gaze samples</w:t>
      </w:r>
      <w:r>
        <w:t xml:space="preserve"> (X/Y screen coordinates over time), (2) </w:t>
      </w:r>
      <w:r>
        <w:rPr>
          <w:b/>
          <w:bCs/>
        </w:rPr>
        <w:t xml:space="preserve">fixation events</w:t>
      </w:r>
      <w:r>
        <w:t xml:space="preserve"> computed by an I-VT velocity-threshold filter — each with a location, start time, end time, and duration — and matching saccade events, and (3) </w:t>
      </w:r>
      <w:r>
        <w:rPr>
          <w:b/>
          <w:bCs/>
        </w:rPr>
        <w:t xml:space="preserve">slide-event timestamps</w:t>
      </w:r>
      <w:r>
        <w:t xml:space="preserve"> marking the exact on-screen start and end of every poster's exposure window. This analysis focuses on two posters: </w:t>
      </w:r>
      <w:r>
        <w:rPr>
          <w:b/>
          <w:bCs/>
        </w:rPr>
        <w:t xml:space="preserve">Armin Hofmann (1955)</w:t>
      </w:r>
      <w:r>
        <w:t xml:space="preserve"> and </w:t>
      </w:r>
      <w:r>
        <w:rPr>
          <w:b/>
          <w:bCs/>
        </w:rPr>
        <w:t xml:space="preserve">Barry Ceck (1988)</w:t>
      </w:r>
      <w:r>
        <w:t xml:space="preserve"> — one restrained and typographic, one deliberately busy and layered — chosen to test the method on visually different designs.</w:t>
      </w:r>
    </w:p>
    <w:p>
      <w:pPr>
        <w:pStyle w:val="Heading2"/>
        <w:spacing w:after="140" w:before="300"/>
      </w:pPr>
      <w:r>
        <w:t xml:space="preserve">What we did with it</w:t>
      </w:r>
    </w:p>
    <w:p>
      <w:pPr>
        <w:pStyle w:val="ListParagraph"/>
        <w:numPr>
          <w:ilvl w:val="0"/>
          <w:numId w:val="1"/>
        </w:numPr>
        <w:spacing w:after="90"/>
      </w:pPr>
      <w:r>
        <w:t xml:space="preserve">Extracted every fixation that occurred inside each participant's 16-second window for each poster, and mapped its screen coordinates onto the poster's own canvas (validated by checking that fixations landed exactly on the scanpaths already drawn for each participant).</w:t>
      </w:r>
    </w:p>
    <w:p>
      <w:pPr>
        <w:pStyle w:val="ListParagraph"/>
        <w:numPr>
          <w:ilvl w:val="0"/>
          <w:numId w:val="1"/>
        </w:numPr>
        <w:spacing w:after="90"/>
      </w:pPr>
      <w:r>
        <w:t xml:space="preserve">Pooled all 48 participants' fixations per poster and ran DBSCAN, a density-based clustering algorithm, directly on the fixation coordinates — no region count or boundaries were specified by hand.</w:t>
      </w:r>
    </w:p>
    <w:p>
      <w:pPr>
        <w:pStyle w:val="ListParagraph"/>
        <w:numPr>
          <w:ilvl w:val="0"/>
          <w:numId w:val="1"/>
        </w:numPr>
        <w:spacing w:after="90"/>
      </w:pPr>
      <w:r>
        <w:t xml:space="preserve">Selected DBSCAN's two parameters (eps, the neighborhood radius, and min_samples, the density threshold) automatically per poster via grid search, keeping the combination that produced a sensible 3-7 regions with an acceptable noise share and the best silhouette (cluster-quality) score.</w:t>
      </w:r>
    </w:p>
    <w:p>
      <w:pPr>
        <w:pStyle w:val="ListParagraph"/>
        <w:numPr>
          <w:ilvl w:val="0"/>
          <w:numId w:val="1"/>
        </w:numPr>
        <w:spacing w:after="90"/>
      </w:pPr>
      <w:r>
        <w:t xml:space="preserve">Folded the small share of fixations too sparse to belong to any dense cluster ("noise") into their nearest region, so every fixation is accounted for in the final numbers.</w:t>
      </w:r>
    </w:p>
    <w:p>
      <w:pPr>
        <w:pStyle w:val="ListParagraph"/>
        <w:numPr>
          <w:ilvl w:val="0"/>
          <w:numId w:val="1"/>
        </w:numPr>
        <w:spacing w:after="90"/>
      </w:pPr>
      <w:r>
        <w:t xml:space="preserve">For each region, computed: share of total gaze time, average fixation duration, share of participants whose very first fixation landed there, average time of first entry, and the aggregate order regions are first reached.</w:t>
      </w:r>
    </w:p>
    <w:p>
      <w:pPr>
        <w:pStyle w:val="ListParagraph"/>
        <w:numPr>
          <w:ilvl w:val="0"/>
          <w:numId w:val="1"/>
        </w:numPr>
        <w:spacing w:after="90"/>
      </w:pPr>
      <w:r>
        <w:t xml:space="preserve">Built pooled, duration-weighted gaze-density heatmaps at 2s / 5s / 16s, average scanpath maps, and gaze build-up animations for each poster.</w:t>
      </w:r>
    </w:p>
    <w:p>
      <w:pPr>
        <w:spacing w:after="160"/>
      </w:pPr>
      <w:r>
        <w:rPr>
          <w:i/>
          <w:iCs/>
          <w:color w:val="555555"/>
        </w:rPr>
        <w:t xml:space="preserve">Suggested figure: a simple pipeline diagram (raw gaze → fixations → pooled points → DBSCAN regions → region stats), plus one "before/after" panel showing raw fixation dots vs. the final colored DBSCAN regions on the Hofmann poster.</w:t>
      </w:r>
    </w:p>
    <w:p>
      <w:pPr>
        <w:pStyle w:val="Heading1"/>
        <w:spacing w:after="140" w:before="300"/>
      </w:pPr>
      <w:r>
        <w:t xml:space="preserve">Results</w:t>
      </w:r>
    </w:p>
    <w:p>
      <w:pPr>
        <w:pStyle w:val="Heading2"/>
        <w:spacing w:after="140" w:before="300"/>
      </w:pPr>
      <w:r>
        <w:t xml:space="preserve">Armin Hofmann, 1955 — 3 data-driven regions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F2F2F2" w:val="clear"/>
            <w:tcMar>
              <w:top w:type="dxa" w:w="120"/>
              <w:left w:type="dxa" w:w="100"/>
              <w:bottom w:type="dxa" w:w="120"/>
              <w:right w:type="dxa" w:w="100"/>
            </w:tcMar>
          </w:tcPr>
          <w:p>
            <w:pPr>
              <w:spacing w:after="40"/>
              <w:jc w:val="center"/>
            </w:pPr>
            <w:r>
              <w:rPr>
                <w:b/>
                <w:bCs/>
                <w:color w:val="1F4E79"/>
                <w:sz w:val="30"/>
                <w:szCs w:val="30"/>
              </w:rPr>
              <w:t xml:space="preserve">64.6%</w:t>
            </w:r>
          </w:p>
          <w:p>
            <w:pPr>
              <w:jc w:val="center"/>
            </w:pPr>
            <w:r>
              <w:rPr>
                <w:color w:val="555555"/>
                <w:sz w:val="16"/>
                <w:szCs w:val="16"/>
              </w:rPr>
              <w:t xml:space="preserve">first fixation on
top headline</w:t>
            </w:r>
          </w:p>
        </w:tc>
        <w:tc>
          <w:tcPr>
            <w:tcW w:type="dxa" w:w="2400"/>
            <w:shd w:fill="F2F2F2" w:val="clear"/>
            <w:tcMar>
              <w:top w:type="dxa" w:w="120"/>
              <w:left w:type="dxa" w:w="100"/>
              <w:bottom w:type="dxa" w:w="120"/>
              <w:right w:type="dxa" w:w="100"/>
            </w:tcMar>
          </w:tcPr>
          <w:p>
            <w:pPr>
              <w:spacing w:after="40"/>
              <w:jc w:val="center"/>
            </w:pPr>
            <w:r>
              <w:rPr>
                <w:b/>
                <w:bCs/>
                <w:color w:val="1F4E79"/>
                <w:sz w:val="30"/>
                <w:szCs w:val="30"/>
              </w:rPr>
              <w:t xml:space="preserve">48.4%</w:t>
            </w:r>
          </w:p>
          <w:p>
            <w:pPr>
              <w:jc w:val="center"/>
            </w:pPr>
            <w:r>
              <w:rPr>
                <w:color w:val="555555"/>
                <w:sz w:val="16"/>
                <w:szCs w:val="16"/>
              </w:rPr>
              <w:t xml:space="preserve">of viewing time on
middle text block</w:t>
            </w:r>
          </w:p>
        </w:tc>
        <w:tc>
          <w:tcPr>
            <w:tcW w:type="dxa" w:w="2400"/>
            <w:shd w:fill="F2F2F2" w:val="clear"/>
            <w:tcMar>
              <w:top w:type="dxa" w:w="120"/>
              <w:left w:type="dxa" w:w="100"/>
              <w:bottom w:type="dxa" w:w="120"/>
              <w:right w:type="dxa" w:w="100"/>
            </w:tcMar>
          </w:tcPr>
          <w:p>
            <w:pPr>
              <w:spacing w:after="40"/>
              <w:jc w:val="center"/>
            </w:pPr>
            <w:r>
              <w:rPr>
                <w:b/>
                <w:bCs/>
                <w:color w:val="1F4E79"/>
                <w:sz w:val="30"/>
                <w:szCs w:val="30"/>
              </w:rPr>
              <w:t xml:space="preserve">235 ms</w:t>
            </w:r>
          </w:p>
          <w:p>
            <w:pPr>
              <w:jc w:val="center"/>
            </w:pPr>
            <w:r>
              <w:rPr>
                <w:color w:val="555555"/>
                <w:sz w:val="16"/>
                <w:szCs w:val="16"/>
              </w:rPr>
              <w:t xml:space="preserve">longest avg. look
(middle text block)</w:t>
            </w:r>
          </w:p>
        </w:tc>
        <w:tc>
          <w:tcPr>
            <w:tcW w:type="dxa" w:w="2400"/>
            <w:shd w:fill="F2F2F2" w:val="clear"/>
            <w:tcMar>
              <w:top w:type="dxa" w:w="120"/>
              <w:left w:type="dxa" w:w="100"/>
              <w:bottom w:type="dxa" w:w="120"/>
              <w:right w:type="dxa" w:w="100"/>
            </w:tcMar>
          </w:tcPr>
          <w:p>
            <w:pPr>
              <w:spacing w:after="40"/>
              <w:jc w:val="center"/>
            </w:pPr>
            <w:r>
              <w:rPr>
                <w:b/>
                <w:bCs/>
                <w:color w:val="1F4E79"/>
                <w:sz w:val="30"/>
                <w:szCs w:val="30"/>
              </w:rPr>
              <w:t xml:space="preserve">0.75</w:t>
            </w:r>
          </w:p>
          <w:p>
            <w:pPr>
              <w:jc w:val="center"/>
            </w:pPr>
            <w:r>
              <w:rPr>
                <w:color w:val="555555"/>
                <w:sz w:val="16"/>
                <w:szCs w:val="16"/>
              </w:rPr>
              <w:t xml:space="preserve">silhouette score
(region separation)</w:t>
            </w:r>
          </w:p>
        </w:tc>
      </w:tr>
    </w:tbl>
    <w:p>
      <w:pPr>
        <w:spacing w:after="160"/>
      </w:pPr>
    </w:p>
    <w:p>
      <w:pPr>
        <w:spacing w:after="160"/>
      </w:pPr>
      <w:r>
        <w:t xml:space="preserve">DBSCAN found exactly the poster's 3 visible text blocks: the bold headline (top), the exhibition-details copy (middle), and the footer line (bottom) — the same 3 regions found independently with K-means, in almost the same proportions, which cross-validates the finding. </w:t>
      </w:r>
      <w:r>
        <w:rPr>
          <w:b/>
          <w:bCs/>
        </w:rPr>
        <w:t xml:space="preserve">64.6%</w:t>
      </w:r>
      <w:r>
        <w:t xml:space="preserve"> of participants' very first fixation landed on the headline, about </w:t>
      </w:r>
      <w:r>
        <w:rPr>
          <w:b/>
          <w:bCs/>
        </w:rPr>
        <w:t xml:space="preserve">0.4s</w:t>
      </w:r>
      <w:r>
        <w:t xml:space="preserve"> after the poster appeared. Attention then moved to the middle text block, which — despite not being looked at first — captured the </w:t>
      </w:r>
      <w:r>
        <w:rPr>
          <w:b/>
          <w:bCs/>
        </w:rPr>
        <w:t xml:space="preserve">most total viewing time (48.4%)</w:t>
      </w:r>
      <w:r>
        <w:t xml:space="preserve"> and the </w:t>
      </w:r>
      <w:r>
        <w:rPr>
          <w:b/>
          <w:bCs/>
        </w:rPr>
        <w:t xml:space="preserve">longest individual looks (235 ms average)</w:t>
      </w:r>
      <w:r>
        <w:t xml:space="preserve"> of any region. The footer text was reached last (~5.3s in, on average) and held the least attention (16.1%).</w:t>
      </w:r>
    </w:p>
    <w:p>
      <w:pPr>
        <w:pStyle w:val="Heading2"/>
        <w:spacing w:after="140" w:before="300"/>
      </w:pPr>
      <w:r>
        <w:t xml:space="preserve">Barry Ceck, 1988 — 7 data-driven regions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F2F2F2" w:val="clear"/>
            <w:tcMar>
              <w:top w:type="dxa" w:w="120"/>
              <w:left w:type="dxa" w:w="100"/>
              <w:bottom w:type="dxa" w:w="120"/>
              <w:right w:type="dxa" w:w="100"/>
            </w:tcMar>
          </w:tcPr>
          <w:p>
            <w:pPr>
              <w:spacing w:after="40"/>
              <w:jc w:val="center"/>
            </w:pPr>
            <w:r>
              <w:rPr>
                <w:b/>
                <w:bCs/>
                <w:color w:val="1F4E79"/>
                <w:sz w:val="30"/>
                <w:szCs w:val="30"/>
              </w:rPr>
              <w:t xml:space="preserve">45.8%</w:t>
            </w:r>
          </w:p>
          <w:p>
            <w:pPr>
              <w:jc w:val="center"/>
            </w:pPr>
            <w:r>
              <w:rPr>
                <w:color w:val="555555"/>
                <w:sz w:val="16"/>
                <w:szCs w:val="16"/>
              </w:rPr>
              <w:t xml:space="preserve">first fixation split:
"BARTOK" title</w:t>
            </w:r>
          </w:p>
        </w:tc>
        <w:tc>
          <w:tcPr>
            <w:tcW w:type="dxa" w:w="2400"/>
            <w:shd w:fill="F2F2F2" w:val="clear"/>
            <w:tcMar>
              <w:top w:type="dxa" w:w="120"/>
              <w:left w:type="dxa" w:w="100"/>
              <w:bottom w:type="dxa" w:w="120"/>
              <w:right w:type="dxa" w:w="100"/>
            </w:tcMar>
          </w:tcPr>
          <w:p>
            <w:pPr>
              <w:spacing w:after="40"/>
              <w:jc w:val="center"/>
            </w:pPr>
            <w:r>
              <w:rPr>
                <w:b/>
                <w:bCs/>
                <w:color w:val="1F4E79"/>
                <w:sz w:val="30"/>
                <w:szCs w:val="30"/>
              </w:rPr>
              <w:t xml:space="preserve">35.7%</w:t>
            </w:r>
          </w:p>
          <w:p>
            <w:pPr>
              <w:jc w:val="center"/>
            </w:pPr>
            <w:r>
              <w:rPr>
                <w:color w:val="555555"/>
                <w:sz w:val="16"/>
                <w:szCs w:val="16"/>
              </w:rPr>
              <w:t xml:space="preserve">of viewing time on
"CRUMB" / date block</w:t>
            </w:r>
          </w:p>
        </w:tc>
        <w:tc>
          <w:tcPr>
            <w:tcW w:type="dxa" w:w="2400"/>
            <w:shd w:fill="F2F2F2" w:val="clear"/>
            <w:tcMar>
              <w:top w:type="dxa" w:w="120"/>
              <w:left w:type="dxa" w:w="100"/>
              <w:bottom w:type="dxa" w:w="120"/>
              <w:right w:type="dxa" w:w="100"/>
            </w:tcMar>
          </w:tcPr>
          <w:p>
            <w:pPr>
              <w:spacing w:after="40"/>
              <w:jc w:val="center"/>
            </w:pPr>
            <w:r>
              <w:rPr>
                <w:b/>
                <w:bCs/>
                <w:color w:val="1F4E79"/>
                <w:sz w:val="30"/>
                <w:szCs w:val="30"/>
              </w:rPr>
              <w:t xml:space="preserve">197 ms</w:t>
            </w:r>
          </w:p>
          <w:p>
            <w:pPr>
              <w:jc w:val="center"/>
            </w:pPr>
            <w:r>
              <w:rPr>
                <w:color w:val="555555"/>
                <w:sz w:val="16"/>
                <w:szCs w:val="16"/>
              </w:rPr>
              <w:t xml:space="preserve">longest avg. look
(small illustration)</w:t>
            </w:r>
          </w:p>
        </w:tc>
        <w:tc>
          <w:tcPr>
            <w:tcW w:type="dxa" w:w="2400"/>
            <w:shd w:fill="F2F2F2" w:val="clear"/>
            <w:tcMar>
              <w:top w:type="dxa" w:w="120"/>
              <w:left w:type="dxa" w:w="100"/>
              <w:bottom w:type="dxa" w:w="120"/>
              <w:right w:type="dxa" w:w="100"/>
            </w:tcMar>
          </w:tcPr>
          <w:p>
            <w:pPr>
              <w:spacing w:after="40"/>
              <w:jc w:val="center"/>
            </w:pPr>
            <w:r>
              <w:rPr>
                <w:b/>
                <w:bCs/>
                <w:color w:val="1F4E79"/>
                <w:sz w:val="30"/>
                <w:szCs w:val="30"/>
              </w:rPr>
              <w:t xml:space="preserve">7</w:t>
            </w:r>
          </w:p>
          <w:p>
            <w:pPr>
              <w:jc w:val="center"/>
            </w:pPr>
            <w:r>
              <w:rPr>
                <w:color w:val="555555"/>
                <w:sz w:val="16"/>
                <w:szCs w:val="16"/>
              </w:rPr>
              <w:t xml:space="preserve">regions found
(vs. 4 with K-means)</w:t>
            </w:r>
          </w:p>
        </w:tc>
      </w:tr>
    </w:tbl>
    <w:p>
      <w:pPr>
        <w:spacing w:after="160"/>
      </w:pPr>
    </w:p>
    <w:p>
      <w:pPr>
        <w:spacing w:after="160"/>
      </w:pPr>
      <w:r>
        <w:t xml:space="preserve">On this busier, more layered poster, DBSCAN split attention into </w:t>
      </w:r>
      <w:r>
        <w:rPr>
          <w:b/>
          <w:bCs/>
        </w:rPr>
        <w:t xml:space="preserve">7 regions</w:t>
      </w:r>
      <w:r>
        <w:t xml:space="preserve"> rather than the fixed 4 that K-means was forced to use — it separated out a technical illustration and a small hand-drawn ornamental creature as their own hotspots instead of folding them into neighbouring text. First attention split fairly evenly between the "BARTOK" title (</w:t>
      </w:r>
      <w:r>
        <w:rPr>
          <w:b/>
          <w:bCs/>
        </w:rPr>
        <w:t xml:space="preserve">45.8%</w:t>
      </w:r>
      <w:r>
        <w:t xml:space="preserve">) and the "CRUMB"/date-and-venue block (</w:t>
      </w:r>
      <w:r>
        <w:rPr>
          <w:b/>
          <w:bCs/>
        </w:rPr>
        <w:t xml:space="preserve">37.5%</w:t>
      </w:r>
      <w:r>
        <w:t xml:space="preserve">), and that second block also drew the most total viewing time (</w:t>
      </w:r>
      <w:r>
        <w:rPr>
          <w:b/>
          <w:bCs/>
        </w:rPr>
        <w:t xml:space="preserve">35.7%</w:t>
      </w:r>
      <w:r>
        <w:t xml:space="preserve">). Notably, the </w:t>
      </w:r>
      <w:r>
        <w:rPr>
          <w:b/>
          <w:bCs/>
        </w:rPr>
        <w:t xml:space="preserve">single longest average fixation (197 ms)</w:t>
      </w:r>
      <w:r>
        <w:t xml:space="preserve"> occurred in the smallest region of all — the hand-drawn creature illustration, just 7% of total viewing time — suggesting that although few viewers fixate there, the ones who do pause unusually long, as if studying the detail once they notice it.</w:t>
      </w:r>
    </w:p>
    <w:p>
      <w:pPr>
        <w:pStyle w:val="Heading2"/>
        <w:spacing w:after="140" w:before="300"/>
      </w:pPr>
      <w:r>
        <w:t xml:space="preserve">Pattern across both posters</w:t>
      </w:r>
    </w:p>
    <w:p>
      <w:pPr>
        <w:pStyle w:val="ListParagraph"/>
        <w:numPr>
          <w:ilvl w:val="0"/>
          <w:numId w:val="1"/>
        </w:numPr>
        <w:spacing w:after="90"/>
      </w:pPr>
      <w:r>
        <w:t xml:space="preserve">Same two-stage sequence: first glance to the single biggest, boldest title text (within about half a second to a second), then the longest total dwell settles on a denser block of nearby text.</w:t>
      </w:r>
    </w:p>
    <w:p>
      <w:pPr>
        <w:pStyle w:val="ListParagraph"/>
        <w:numPr>
          <w:ilvl w:val="0"/>
          <w:numId w:val="1"/>
        </w:numPr>
        <w:spacing w:after="90"/>
      </w:pPr>
      <w:r>
        <w:t xml:space="preserve">Text dominates: every high-attention region in both posters is anchored by text (titles, credits, or informational copy); large abstract shapes and colour fields are mostly skipped over.</w:t>
      </w:r>
    </w:p>
    <w:p>
      <w:pPr>
        <w:pStyle w:val="ListParagraph"/>
        <w:numPr>
          <w:ilvl w:val="0"/>
          <w:numId w:val="1"/>
        </w:numPr>
        <w:spacing w:after="90"/>
      </w:pPr>
      <w:r>
        <w:t xml:space="preserve">Method matters on complex layouts: DBSCAN agreed almost exactly with K-means on the simpler poster, but found nearly double the regions on the busier one — letting cluster count emerge from the data rather than fixing it in advance captured real structure that a fixed-k method missed.</w:t>
      </w:r>
    </w:p>
    <w:p>
      <w:pPr>
        <w:spacing w:after="160"/>
      </w:pPr>
      <w:r>
        <w:rPr>
          <w:i/>
          <w:iCs/>
          <w:color w:val="555555"/>
        </w:rPr>
        <w:t xml:space="preserve">Suggested figures: average_gaze_path.png for both posters (region maps with % time and viewing order arrows), the 0-16s average heatmaps, and a small side-by-side table of the two posters' region counts / silhouette scores.</w:t>
      </w:r>
    </w:p>
    <w:p>
      <w:pPr>
        <w:pStyle w:val="Heading1"/>
        <w:spacing w:after="140" w:before="300"/>
      </w:pPr>
      <w:r>
        <w:t xml:space="preserve">Conclusion &amp; Future Directions</w:t>
      </w:r>
    </w:p>
    <w:p>
      <w:pPr>
        <w:spacing w:after="160"/>
      </w:pPr>
      <w:r>
        <w:t xml:space="preserve">Across two visually different poster designs, attention followed the same reliable pattern: the boldest title text wins the first glance almost immediately, and a nearby block of denser, more informational text — not necessarily the poster's visual centerpiece — earns the longest and most sustained looking. Abstract shapes, illustrations, and colour fields play a supporting role, guiding the eye toward text rather than holding attention themselves. A density-based clustering approach (DBSCAN) recovered this structure directly from the gaze data with no manually defined regions, and adapted its region count to each poster's actual visual complexity — 3 tidy regions for a restrained typographic design, 7 finer-grained ones for a busy, layered design — which a fixed-cluster-count method could not do.</w:t>
      </w:r>
    </w:p>
    <w:p>
      <w:pPr>
        <w:spacing w:after="160"/>
      </w:pPr>
      <w:r>
        <w:t xml:space="preserve">These results come with real limits worth stating plainly: only </w:t>
      </w:r>
      <w:r>
        <w:rPr>
          <w:b/>
          <w:bCs/>
        </w:rPr>
        <w:t xml:space="preserve">2 of the full poster set</w:t>
      </w:r>
      <w:r>
        <w:t xml:space="preserve"> have been analyzed this way so far; the "regions" DBSCAN finds are statistical density clusters, not semantic labels, so classifying them as text/shape/colour still required visual judgment by hand; and DBSCAN's parameters, while chosen by a systematic grid search, still required setting a reasonable target range (3-7 regions, 2-40% noise) rather than being fully automatic.</w:t>
      </w:r>
    </w:p>
    <w:p>
      <w:pPr>
        <w:pStyle w:val="Heading2"/>
        <w:spacing w:after="140" w:before="300"/>
      </w:pPr>
      <w:r>
        <w:t xml:space="preserve">Future directions</w:t>
      </w:r>
    </w:p>
    <w:p>
      <w:pPr>
        <w:pStyle w:val="ListParagraph"/>
        <w:numPr>
          <w:ilvl w:val="0"/>
          <w:numId w:val="1"/>
        </w:numPr>
        <w:spacing w:after="90"/>
      </w:pPr>
      <w:r>
        <w:t xml:space="preserve">Scale the same DBSCAN pipeline across the full set of posters in the study (12+ designs) for a dataset-wide comparison, not just two.</w:t>
      </w:r>
    </w:p>
    <w:p>
      <w:pPr>
        <w:pStyle w:val="ListParagraph"/>
        <w:numPr>
          <w:ilvl w:val="0"/>
          <w:numId w:val="1"/>
        </w:numPr>
        <w:spacing w:after="90"/>
      </w:pPr>
      <w:r>
        <w:t xml:space="preserve">Automate region content-labeling (text vs. image vs. colour block) with OCR and object detection, replacing manual visual classification.</w:t>
      </w:r>
    </w:p>
    <w:p>
      <w:pPr>
        <w:pStyle w:val="ListParagraph"/>
        <w:numPr>
          <w:ilvl w:val="0"/>
          <w:numId w:val="1"/>
        </w:numPr>
        <w:spacing w:after="90"/>
      </w:pPr>
      <w:r>
        <w:t xml:space="preserve">Look for individual differences in scanning strategy (e.g., text-first vs. image-first viewers) via per-participant clustering or sequence analysis, rather than only pooled/averaged attention.</w:t>
      </w:r>
    </w:p>
    <w:p>
      <w:pPr>
        <w:pStyle w:val="ListParagraph"/>
        <w:numPr>
          <w:ilvl w:val="0"/>
          <w:numId w:val="1"/>
        </w:numPr>
        <w:spacing w:after="90"/>
      </w:pPr>
      <w:r>
        <w:t xml:space="preserve">Connect gaze metrics to the post-viewing survey responses already collected in this study (recall, preference, comprehension) to test whether attention patterns predict downstream outcomes, not just where eyes went.</w:t>
      </w:r>
    </w:p>
    <w:p>
      <w:pPr>
        <w:pStyle w:val="ListParagraph"/>
        <w:numPr>
          <w:ilvl w:val="0"/>
          <w:numId w:val="1"/>
        </w:numPr>
        <w:spacing w:after="90"/>
      </w:pPr>
      <w:r>
        <w:t xml:space="preserve">Try density methods that don't need a single global eps, such as HDBSCAN, so regions of very different density (a tight headline cluster vs. a diffuse background glance area) can be found in the same pass.</w:t>
      </w:r>
    </w:p>
    <w:p>
      <w:pPr>
        <w:pStyle w:val="ListParagraph"/>
        <w:numPr>
          <w:ilvl w:val="0"/>
          <w:numId w:val="1"/>
        </w:numPr>
        <w:spacing w:after="90"/>
      </w:pPr>
      <w:r>
        <w:t xml:space="preserve">Package the pipeline as an interactive tool so a designer can drop in a new poster and gaze log and get back its data-driven attention regions on demand.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2026-07-29T16:40:37.555Z</dcterms:created>
  <dcterms:modified xsi:type="dcterms:W3CDTF">2026-07-29T16:40:37.579Z</dcterms:modified>
</cp:coreProperties>
</file>

<file path=docProps/custom.xml><?xml version="1.0" encoding="utf-8"?>
<Properties xmlns="http://schemas.openxmlformats.org/officeDocument/2006/custom-properties" xmlns:vt="http://schemas.openxmlformats.org/officeDocument/2006/docPropsVTypes"/>
</file>