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Carlito" w:hAnsi="Carlito"/>
          <w:b/>
          <w:color w:val="C9752A"/>
          <w:sz w:val="26"/>
        </w:rPr>
        <w:t>RESEARCH &amp; ENGINEERING DOCUMENTATION</w:t>
      </w:r>
    </w:p>
    <w:p>
      <w:pPr>
        <w:jc w:val="center"/>
      </w:pPr>
      <w:r>
        <w:rPr>
          <w:rFonts w:ascii="Carlito" w:hAnsi="Carlito"/>
          <w:b/>
          <w:color w:val="1B3A6B"/>
          <w:sz w:val="54"/>
        </w:rPr>
        <w:t>Critical Evaluation of EEG Biomarkers for Alzheimer's Disease</w:t>
      </w:r>
    </w:p>
    <w:p>
      <w:pPr>
        <w:jc w:val="center"/>
      </w:pPr>
      <w:r>
        <w:rPr>
          <w:rFonts w:ascii="Carlito" w:hAnsi="Carlito"/>
          <w:b/>
          <w:color w:val="1B3A6B"/>
          <w:sz w:val="40"/>
        </w:rPr>
        <w:t>with Minimal-Electrode Machine Learning Optimization</w:t>
      </w:r>
    </w:p>
    <w:p>
      <w:pPr>
        <w:spacing w:before="480"/>
        <w:jc w:val="center"/>
      </w:pPr>
      <w:r>
        <w:rPr>
          <w:rFonts w:ascii="Carlito" w:hAnsi="Carlito"/>
          <w:b/>
          <w:sz w:val="23"/>
        </w:rPr>
        <w:t>Dataset: OpenNeuro ds004504, snapshot v1.0.9</w:t>
      </w:r>
    </w:p>
    <w:p>
      <w:pPr>
        <w:jc w:val="center"/>
      </w:pPr>
      <w:r>
        <w:rPr>
          <w:rFonts w:ascii="Carlito" w:hAnsi="Carlito"/>
          <w:sz w:val="23"/>
        </w:rPr>
        <w:t>Primary benchmark: DICE-Net (Miltiadous et al., IEEE Access, 2023)</w:t>
      </w:r>
    </w:p>
    <w:p>
      <w:pPr>
        <w:jc w:val="center"/>
      </w:pPr>
      <w:r>
        <w:rPr>
          <w:rFonts w:ascii="Carlito" w:hAnsi="Carlito"/>
          <w:color w:val="5A5A5A"/>
          <w:sz w:val="20"/>
        </w:rPr>
        <w:t>Version 1.0  |  20 August 2026</w:t>
      </w:r>
    </w:p>
    <w:p>
      <w:pPr>
        <w:spacing w:before="1000"/>
        <w:jc w:val="center"/>
      </w:pPr>
      <w:r>
        <w:rPr>
          <w:rFonts w:ascii="Carlito" w:hAnsi="Carlito"/>
          <w:b/>
          <w:color w:val="C9752A"/>
          <w:sz w:val="22"/>
        </w:rPr>
        <w:t>Purpose</w:t>
      </w:r>
    </w:p>
    <w:p>
      <w:pPr>
        <w:jc w:val="center"/>
      </w:pPr>
      <w:r>
        <w:rPr>
          <w:rFonts w:ascii="Carlito" w:hAnsi="Carlito"/>
          <w:sz w:val="22"/>
        </w:rPr>
        <w:t>A reproducible, leakage-safe workflow for replicating, challenging, and engineering EEG biomarkers of dementia.</w:t>
      </w:r>
    </w:p>
    <w:p>
      <w:r>
        <w:br w:type="page"/>
      </w:r>
    </w:p>
    <w:p>
      <w:pPr>
        <w:pStyle w:val="Heading1"/>
        <w:keepNext/>
      </w:pPr>
      <w:r>
        <w:t>Contents</w:t>
      </w:r>
    </w:p>
    <w:p>
      <w:pPr>
        <w:spacing w:after="40"/>
        <w:ind w:left="216"/>
      </w:pPr>
      <w:r>
        <w:rPr>
          <w:rFonts w:ascii="Carlito" w:hAnsi="Carlito"/>
          <w:sz w:val="20"/>
        </w:rPr>
        <w:t>1. Executive Summary</w:t>
      </w:r>
    </w:p>
    <w:p>
      <w:pPr>
        <w:spacing w:after="40"/>
        <w:ind w:left="216"/>
      </w:pPr>
      <w:r>
        <w:rPr>
          <w:rFonts w:ascii="Carlito" w:hAnsi="Carlito"/>
          <w:sz w:val="20"/>
        </w:rPr>
        <w:t>2. Project Charter</w:t>
      </w:r>
    </w:p>
    <w:p>
      <w:pPr>
        <w:spacing w:after="40"/>
        <w:ind w:left="216"/>
      </w:pPr>
      <w:r>
        <w:rPr>
          <w:rFonts w:ascii="Carlito" w:hAnsi="Carlito"/>
          <w:sz w:val="20"/>
        </w:rPr>
        <w:t>3. Scientific Background and Research Gap</w:t>
      </w:r>
    </w:p>
    <w:p>
      <w:pPr>
        <w:spacing w:after="40"/>
        <w:ind w:left="216"/>
      </w:pPr>
      <w:r>
        <w:rPr>
          <w:rFonts w:ascii="Carlito" w:hAnsi="Carlito"/>
          <w:sz w:val="20"/>
        </w:rPr>
        <w:t>4. Research Questions, Aims, and Hypotheses</w:t>
      </w:r>
    </w:p>
    <w:p>
      <w:pPr>
        <w:spacing w:after="40"/>
        <w:ind w:left="216"/>
      </w:pPr>
      <w:r>
        <w:rPr>
          <w:rFonts w:ascii="Carlito" w:hAnsi="Carlito"/>
          <w:sz w:val="20"/>
        </w:rPr>
        <w:t>5. Dataset Specification</w:t>
      </w:r>
    </w:p>
    <w:p>
      <w:pPr>
        <w:spacing w:after="40"/>
        <w:ind w:left="216"/>
      </w:pPr>
      <w:r>
        <w:rPr>
          <w:rFonts w:ascii="Carlito" w:hAnsi="Carlito"/>
          <w:sz w:val="20"/>
        </w:rPr>
        <w:t>6. Study Design: Replication Track vs Critique Track</w:t>
      </w:r>
    </w:p>
    <w:p>
      <w:pPr>
        <w:spacing w:after="40"/>
        <w:ind w:left="216"/>
      </w:pPr>
      <w:r>
        <w:rPr>
          <w:rFonts w:ascii="Carlito" w:hAnsi="Carlito"/>
          <w:sz w:val="20"/>
        </w:rPr>
        <w:t>7. Software Environment and Repository Architecture</w:t>
      </w:r>
    </w:p>
    <w:p>
      <w:pPr>
        <w:spacing w:after="40"/>
        <w:ind w:left="216"/>
      </w:pPr>
      <w:r>
        <w:rPr>
          <w:rFonts w:ascii="Carlito" w:hAnsi="Carlito"/>
          <w:sz w:val="20"/>
        </w:rPr>
        <w:t>8. Data Ingestion and Quality Control</w:t>
      </w:r>
    </w:p>
    <w:p>
      <w:pPr>
        <w:spacing w:after="40"/>
        <w:ind w:left="216"/>
      </w:pPr>
      <w:r>
        <w:rPr>
          <w:rFonts w:ascii="Carlito" w:hAnsi="Carlito"/>
          <w:sz w:val="20"/>
        </w:rPr>
        <w:t>9. Epoching and Subject-Level Sampling</w:t>
      </w:r>
    </w:p>
    <w:p>
      <w:pPr>
        <w:spacing w:after="40"/>
        <w:ind w:left="216"/>
      </w:pPr>
      <w:r>
        <w:rPr>
          <w:rFonts w:ascii="Carlito" w:hAnsi="Carlito"/>
          <w:sz w:val="20"/>
        </w:rPr>
        <w:t>10. DICE-Net Biomarker Replication</w:t>
      </w:r>
    </w:p>
    <w:p>
      <w:pPr>
        <w:spacing w:after="40"/>
        <w:ind w:left="216"/>
      </w:pPr>
      <w:r>
        <w:rPr>
          <w:rFonts w:ascii="Carlito" w:hAnsi="Carlito"/>
          <w:sz w:val="20"/>
        </w:rPr>
        <w:t>11. Spectral Biomarker Critique</w:t>
      </w:r>
    </w:p>
    <w:p>
      <w:pPr>
        <w:spacing w:after="40"/>
        <w:ind w:left="216"/>
      </w:pPr>
      <w:r>
        <w:rPr>
          <w:rFonts w:ascii="Carlito" w:hAnsi="Carlito"/>
          <w:sz w:val="20"/>
        </w:rPr>
        <w:t>12. Connectivity Biomarker Critique</w:t>
      </w:r>
    </w:p>
    <w:p>
      <w:pPr>
        <w:spacing w:after="40"/>
        <w:ind w:left="216"/>
      </w:pPr>
      <w:r>
        <w:rPr>
          <w:rFonts w:ascii="Carlito" w:hAnsi="Carlito"/>
          <w:sz w:val="20"/>
        </w:rPr>
        <w:t>13. Disease Specificity and Clinical Relevance</w:t>
      </w:r>
    </w:p>
    <w:p>
      <w:pPr>
        <w:spacing w:after="40"/>
        <w:ind w:left="216"/>
      </w:pPr>
      <w:r>
        <w:rPr>
          <w:rFonts w:ascii="Carlito" w:hAnsi="Carlito"/>
          <w:sz w:val="20"/>
        </w:rPr>
        <w:t>14. Statistical Analysis Plan</w:t>
      </w:r>
    </w:p>
    <w:p>
      <w:pPr>
        <w:spacing w:after="40"/>
        <w:ind w:left="216"/>
      </w:pPr>
      <w:r>
        <w:rPr>
          <w:rFonts w:ascii="Carlito" w:hAnsi="Carlito"/>
          <w:sz w:val="20"/>
        </w:rPr>
        <w:t>15. Machine-Learning Plan</w:t>
      </w:r>
    </w:p>
    <w:p>
      <w:pPr>
        <w:spacing w:after="40"/>
        <w:ind w:left="216"/>
      </w:pPr>
      <w:r>
        <w:rPr>
          <w:rFonts w:ascii="Carlito" w:hAnsi="Carlito"/>
          <w:sz w:val="20"/>
        </w:rPr>
        <w:t>16. Validation and Leakage Prevention</w:t>
      </w:r>
    </w:p>
    <w:p>
      <w:pPr>
        <w:spacing w:after="40"/>
        <w:ind w:left="216"/>
      </w:pPr>
      <w:r>
        <w:rPr>
          <w:rFonts w:ascii="Carlito" w:hAnsi="Carlito"/>
          <w:sz w:val="20"/>
        </w:rPr>
        <w:t>17. Robust Biomarker Decision Framework</w:t>
      </w:r>
    </w:p>
    <w:p>
      <w:pPr>
        <w:spacing w:after="40"/>
        <w:ind w:left="216"/>
      </w:pPr>
      <w:r>
        <w:rPr>
          <w:rFonts w:ascii="Carlito" w:hAnsi="Carlito"/>
          <w:sz w:val="20"/>
        </w:rPr>
        <w:t>18. Minimal-Electrode Optimization</w:t>
      </w:r>
    </w:p>
    <w:p>
      <w:pPr>
        <w:spacing w:after="40"/>
        <w:ind w:left="216"/>
      </w:pPr>
      <w:r>
        <w:rPr>
          <w:rFonts w:ascii="Carlito" w:hAnsi="Carlito"/>
          <w:sz w:val="20"/>
        </w:rPr>
        <w:t>19. Sensitivity and Robustness Analyses</w:t>
      </w:r>
    </w:p>
    <w:p>
      <w:pPr>
        <w:spacing w:after="40"/>
        <w:ind w:left="216"/>
      </w:pPr>
      <w:r>
        <w:rPr>
          <w:rFonts w:ascii="Carlito" w:hAnsi="Carlito"/>
          <w:sz w:val="20"/>
        </w:rPr>
        <w:t>20. Figures, Tables, and Reporting Standards</w:t>
      </w:r>
    </w:p>
    <w:p>
      <w:pPr>
        <w:spacing w:after="40"/>
        <w:ind w:left="216"/>
      </w:pPr>
      <w:r>
        <w:rPr>
          <w:rFonts w:ascii="Carlito" w:hAnsi="Carlito"/>
          <w:sz w:val="20"/>
        </w:rPr>
        <w:t>21. Milestones and Execution Order</w:t>
      </w:r>
    </w:p>
    <w:p>
      <w:pPr>
        <w:spacing w:after="40"/>
        <w:ind w:left="216"/>
      </w:pPr>
      <w:r>
        <w:rPr>
          <w:rFonts w:ascii="Carlito" w:hAnsi="Carlito"/>
          <w:sz w:val="20"/>
        </w:rPr>
        <w:t>22. Risk Register and Mitigation</w:t>
      </w:r>
    </w:p>
    <w:p>
      <w:pPr>
        <w:spacing w:after="40"/>
        <w:ind w:left="216"/>
      </w:pPr>
      <w:r>
        <w:rPr>
          <w:rFonts w:ascii="Carlito" w:hAnsi="Carlito"/>
          <w:sz w:val="20"/>
        </w:rPr>
        <w:t>23. Reproducibility, Ethics, and Claims</w:t>
      </w:r>
    </w:p>
    <w:p>
      <w:pPr>
        <w:spacing w:after="40"/>
        <w:ind w:left="216"/>
      </w:pPr>
      <w:r>
        <w:rPr>
          <w:rFonts w:ascii="Carlito" w:hAnsi="Carlito"/>
          <w:sz w:val="20"/>
        </w:rPr>
        <w:t>24. Definition of Done</w:t>
      </w:r>
    </w:p>
    <w:p>
      <w:pPr>
        <w:spacing w:after="40"/>
        <w:ind w:left="216"/>
      </w:pPr>
      <w:r>
        <w:rPr>
          <w:rFonts w:ascii="Carlito" w:hAnsi="Carlito"/>
          <w:sz w:val="20"/>
        </w:rPr>
        <w:t>Appendix A. Configuration Template</w:t>
      </w:r>
    </w:p>
    <w:p>
      <w:pPr>
        <w:spacing w:after="40"/>
        <w:ind w:left="216"/>
      </w:pPr>
      <w:r>
        <w:rPr>
          <w:rFonts w:ascii="Carlito" w:hAnsi="Carlito"/>
          <w:sz w:val="20"/>
        </w:rPr>
        <w:t>Appendix B. Command-Line Workflow</w:t>
      </w:r>
    </w:p>
    <w:p>
      <w:pPr>
        <w:spacing w:after="40"/>
        <w:ind w:left="216"/>
      </w:pPr>
      <w:r>
        <w:rPr>
          <w:rFonts w:ascii="Carlito" w:hAnsi="Carlito"/>
          <w:sz w:val="20"/>
        </w:rPr>
        <w:t>Appendix C. Data Dictionaries</w:t>
      </w:r>
    </w:p>
    <w:p>
      <w:pPr>
        <w:spacing w:after="40"/>
        <w:ind w:left="216"/>
      </w:pPr>
      <w:r>
        <w:rPr>
          <w:rFonts w:ascii="Carlito" w:hAnsi="Carlito"/>
          <w:sz w:val="20"/>
        </w:rPr>
        <w:t>Appendix D. Analysis Checklists</w:t>
      </w:r>
    </w:p>
    <w:p>
      <w:pPr>
        <w:spacing w:after="40"/>
        <w:ind w:left="216"/>
      </w:pPr>
      <w:r>
        <w:rPr>
          <w:rFonts w:ascii="Carlito" w:hAnsi="Carlito"/>
          <w:sz w:val="20"/>
        </w:rPr>
        <w:t>References</w:t>
      </w:r>
    </w:p>
    <w:tbl>
      <w:tblPr>
        <w:tblW w:type="auto" w:w="0"/>
        <w:jc w:val="center"/>
        <w:tblLook w:firstColumn="1" w:firstRow="1" w:lastColumn="0" w:lastRow="0" w:noHBand="0" w:noVBand="1" w:val="04A0"/>
      </w:tblPr>
      <w:tblGrid>
        <w:gridCol w:w="9994"/>
      </w:tblGrid>
      <w:tr>
        <w:trPr>
          <w:cantSplit/>
        </w:trPr>
        <w:tc>
          <w:tcPr>
            <w:tcW w:type="dxa" w:w="9994"/>
            <w:shd w:fill="EAF0F8"/>
          </w:tcPr>
          <w:p>
            <w:pPr>
              <w:spacing w:after="40"/>
            </w:pPr>
            <w:r>
              <w:rPr>
                <w:rFonts w:ascii="Carlito" w:hAnsi="Carlito"/>
                <w:b/>
                <w:color w:val="1B3A6B"/>
                <w:sz w:val="20"/>
              </w:rPr>
              <w:t xml:space="preserve">Core rule:  </w:t>
            </w:r>
            <w:r>
              <w:rPr>
                <w:rFonts w:ascii="Carlito" w:hAnsi="Carlito"/>
                <w:sz w:val="20"/>
              </w:rPr>
              <w:t>Do not optimize the reduced montage until the biomarker critique is complete. The project first asks which biomarkers are defensible, then asks how few electrodes are needed to preserve them.</w:t>
            </w:r>
          </w:p>
        </w:tc>
      </w:tr>
    </w:tbl>
    <w:p>
      <w:pPr>
        <w:spacing w:after="0"/>
      </w:pPr>
    </w:p>
    <w:p>
      <w:r>
        <w:br w:type="page"/>
      </w:r>
    </w:p>
    <w:p>
      <w:pPr>
        <w:pStyle w:val="Heading1"/>
        <w:keepNext/>
      </w:pPr>
      <w:r>
        <w:t>1. Executive Summary</w:t>
      </w:r>
    </w:p>
    <w:p>
      <w:pPr>
        <w:spacing w:after="110"/>
      </w:pPr>
      <w:r>
        <w:rPr>
          <w:rFonts w:ascii="Carlito" w:hAnsi="Carlito"/>
          <w:i w:val="0"/>
          <w:sz w:val="20"/>
        </w:rPr>
        <w:t>This project will reproduce two EEG feature families used in DICE-Net - Relative Band Power (RBP) and Spectral Coherence Connectivity (SCC) - on the same 88-subject resting-state EEG dataset, then systematically test whether these proposed biomarkers remain meaningful when their major methodological assumptions are challenged. The final engineering stage will identify a reduced electrode montage that preserves both subject-level classification performance and the robust physiological information that survives the critique.</w:t>
      </w:r>
    </w:p>
    <w:p>
      <w:pPr>
        <w:spacing w:after="110"/>
      </w:pPr>
      <w:r>
        <w:rPr>
          <w:rFonts w:ascii="Carlito" w:hAnsi="Carlito"/>
          <w:i w:val="0"/>
          <w:sz w:val="20"/>
        </w:rPr>
        <w:t>The project is intentionally not framed as "build the highest-accuracy Alzheimer classifier." Instead, it asks whether commonly used EEG biomarkers are stable, disease-specific, physiologically interpretable, and useful under rigorous subject-level validation. This creates a stronger Biomedical Engineering (BME) contribution: the output is a defensible measurement strategy and a minimal sensing configuration, not only a prediction model.</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1800"/>
            <w:vAlign w:val="center"/>
            <w:shd w:fill="1B3A6B"/>
          </w:tcPr>
          <w:p>
            <w:pPr>
              <w:spacing w:after="0"/>
            </w:pPr>
            <w:r/>
            <w:r>
              <w:rPr>
                <w:rFonts w:ascii="Carlito" w:hAnsi="Carlito"/>
                <w:b/>
                <w:color w:val="FFFFFF"/>
                <w:sz w:val="18"/>
              </w:rPr>
              <w:t>Stage</w:t>
            </w:r>
          </w:p>
        </w:tc>
        <w:tc>
          <w:tcPr>
            <w:tcW w:type="dxa" w:w="4536"/>
            <w:vAlign w:val="center"/>
            <w:shd w:fill="1B3A6B"/>
          </w:tcPr>
          <w:p>
            <w:pPr>
              <w:spacing w:after="0"/>
            </w:pPr>
            <w:r/>
            <w:r>
              <w:rPr>
                <w:rFonts w:ascii="Carlito" w:hAnsi="Carlito"/>
                <w:b/>
                <w:color w:val="FFFFFF"/>
                <w:sz w:val="18"/>
              </w:rPr>
              <w:t>Question</w:t>
            </w:r>
          </w:p>
        </w:tc>
        <w:tc>
          <w:tcPr>
            <w:tcW w:type="dxa" w:w="3744"/>
            <w:vAlign w:val="center"/>
            <w:shd w:fill="1B3A6B"/>
          </w:tcPr>
          <w:p>
            <w:pPr>
              <w:spacing w:after="0"/>
            </w:pPr>
            <w:r/>
            <w:r>
              <w:rPr>
                <w:rFonts w:ascii="Carlito" w:hAnsi="Carlito"/>
                <w:b/>
                <w:color w:val="FFFFFF"/>
                <w:sz w:val="18"/>
              </w:rPr>
              <w:t>Primary output</w:t>
            </w:r>
          </w:p>
        </w:tc>
      </w:tr>
      <w:tr>
        <w:trPr>
          <w:cantSplit/>
        </w:trPr>
        <w:tc>
          <w:tcPr>
            <w:tcW w:type="dxa" w:w="1800"/>
            <w:vAlign w:val="center"/>
          </w:tcPr>
          <w:p>
            <w:pPr>
              <w:spacing w:after="0"/>
            </w:pPr>
            <w:r/>
            <w:r>
              <w:rPr>
                <w:rFonts w:ascii="Carlito" w:hAnsi="Carlito"/>
                <w:b w:val="0"/>
                <w:color w:val="232323"/>
                <w:sz w:val="17"/>
              </w:rPr>
              <w:t>Replication</w:t>
            </w:r>
          </w:p>
        </w:tc>
        <w:tc>
          <w:tcPr>
            <w:tcW w:type="dxa" w:w="4536"/>
            <w:vAlign w:val="center"/>
          </w:tcPr>
          <w:p>
            <w:pPr>
              <w:spacing w:after="0"/>
            </w:pPr>
            <w:r/>
            <w:r>
              <w:rPr>
                <w:rFonts w:ascii="Carlito" w:hAnsi="Carlito"/>
                <w:b w:val="0"/>
                <w:color w:val="232323"/>
                <w:sz w:val="17"/>
              </w:rPr>
              <w:t>Can we reproduce RBP/SCC patterns from DICE-Net?</w:t>
            </w:r>
          </w:p>
        </w:tc>
        <w:tc>
          <w:tcPr>
            <w:tcW w:type="dxa" w:w="3744"/>
            <w:vAlign w:val="center"/>
          </w:tcPr>
          <w:p>
            <w:pPr>
              <w:spacing w:after="0"/>
            </w:pPr>
            <w:r/>
            <w:r>
              <w:rPr>
                <w:rFonts w:ascii="Carlito" w:hAnsi="Carlito"/>
                <w:b w:val="0"/>
                <w:color w:val="232323"/>
                <w:sz w:val="17"/>
              </w:rPr>
              <w:t>Matched baseline features and subject-level results</w:t>
            </w:r>
          </w:p>
        </w:tc>
      </w:tr>
      <w:tr>
        <w:trPr>
          <w:cantSplit/>
        </w:trPr>
        <w:tc>
          <w:tcPr>
            <w:tcW w:type="dxa" w:w="1800"/>
            <w:vAlign w:val="center"/>
            <w:shd w:fill="F4F6F8"/>
          </w:tcPr>
          <w:p>
            <w:pPr>
              <w:spacing w:after="0"/>
            </w:pPr>
            <w:r/>
            <w:r>
              <w:rPr>
                <w:rFonts w:ascii="Carlito" w:hAnsi="Carlito"/>
                <w:b w:val="0"/>
                <w:color w:val="232323"/>
                <w:sz w:val="17"/>
              </w:rPr>
              <w:t>Spectral critique</w:t>
            </w:r>
          </w:p>
        </w:tc>
        <w:tc>
          <w:tcPr>
            <w:tcW w:type="dxa" w:w="4536"/>
            <w:vAlign w:val="center"/>
            <w:shd w:fill="F4F6F8"/>
          </w:tcPr>
          <w:p>
            <w:pPr>
              <w:spacing w:after="0"/>
            </w:pPr>
            <w:r/>
            <w:r>
              <w:rPr>
                <w:rFonts w:ascii="Carlito" w:hAnsi="Carlito"/>
                <w:b w:val="0"/>
                <w:color w:val="232323"/>
                <w:sz w:val="17"/>
              </w:rPr>
              <w:t>Are fixed-band RBP effects robust to IAF and periodic/aperiodic decomposition?</w:t>
            </w:r>
          </w:p>
        </w:tc>
        <w:tc>
          <w:tcPr>
            <w:tcW w:type="dxa" w:w="3744"/>
            <w:vAlign w:val="center"/>
            <w:shd w:fill="F4F6F8"/>
          </w:tcPr>
          <w:p>
            <w:pPr>
              <w:spacing w:after="0"/>
            </w:pPr>
            <w:r/>
            <w:r>
              <w:rPr>
                <w:rFonts w:ascii="Carlito" w:hAnsi="Carlito"/>
                <w:b w:val="0"/>
                <w:color w:val="232323"/>
                <w:sz w:val="17"/>
              </w:rPr>
              <w:t>Validated spectral biomarker set</w:t>
            </w:r>
          </w:p>
        </w:tc>
      </w:tr>
      <w:tr>
        <w:trPr>
          <w:cantSplit/>
        </w:trPr>
        <w:tc>
          <w:tcPr>
            <w:tcW w:type="dxa" w:w="1800"/>
            <w:vAlign w:val="center"/>
          </w:tcPr>
          <w:p>
            <w:pPr>
              <w:spacing w:after="0"/>
            </w:pPr>
            <w:r/>
            <w:r>
              <w:rPr>
                <w:rFonts w:ascii="Carlito" w:hAnsi="Carlito"/>
                <w:b w:val="0"/>
                <w:color w:val="232323"/>
                <w:sz w:val="17"/>
              </w:rPr>
              <w:t>Connectivity critique</w:t>
            </w:r>
          </w:p>
        </w:tc>
        <w:tc>
          <w:tcPr>
            <w:tcW w:type="dxa" w:w="4536"/>
            <w:vAlign w:val="center"/>
          </w:tcPr>
          <w:p>
            <w:pPr>
              <w:spacing w:after="0"/>
            </w:pPr>
            <w:r/>
            <w:r>
              <w:rPr>
                <w:rFonts w:ascii="Carlito" w:hAnsi="Carlito"/>
                <w:b w:val="0"/>
                <w:color w:val="232323"/>
                <w:sz w:val="17"/>
              </w:rPr>
              <w:t>Do SCC effects persist with less zero-lag-sensitive connectivity metrics?</w:t>
            </w:r>
          </w:p>
        </w:tc>
        <w:tc>
          <w:tcPr>
            <w:tcW w:type="dxa" w:w="3744"/>
            <w:vAlign w:val="center"/>
          </w:tcPr>
          <w:p>
            <w:pPr>
              <w:spacing w:after="0"/>
            </w:pPr>
            <w:r/>
            <w:r>
              <w:rPr>
                <w:rFonts w:ascii="Carlito" w:hAnsi="Carlito"/>
                <w:b w:val="0"/>
                <w:color w:val="232323"/>
                <w:sz w:val="17"/>
              </w:rPr>
              <w:t>Validated connectivity biomarker set</w:t>
            </w:r>
          </w:p>
        </w:tc>
      </w:tr>
      <w:tr>
        <w:trPr>
          <w:cantSplit/>
        </w:trPr>
        <w:tc>
          <w:tcPr>
            <w:tcW w:type="dxa" w:w="1800"/>
            <w:vAlign w:val="center"/>
            <w:shd w:fill="F4F6F8"/>
          </w:tcPr>
          <w:p>
            <w:pPr>
              <w:spacing w:after="0"/>
            </w:pPr>
            <w:r/>
            <w:r>
              <w:rPr>
                <w:rFonts w:ascii="Carlito" w:hAnsi="Carlito"/>
                <w:b w:val="0"/>
                <w:color w:val="232323"/>
                <w:sz w:val="17"/>
              </w:rPr>
              <w:t>Specificity</w:t>
            </w:r>
          </w:p>
        </w:tc>
        <w:tc>
          <w:tcPr>
            <w:tcW w:type="dxa" w:w="4536"/>
            <w:vAlign w:val="center"/>
            <w:shd w:fill="F4F6F8"/>
          </w:tcPr>
          <w:p>
            <w:pPr>
              <w:spacing w:after="0"/>
            </w:pPr>
            <w:r/>
            <w:r>
              <w:rPr>
                <w:rFonts w:ascii="Carlito" w:hAnsi="Carlito"/>
                <w:b w:val="0"/>
                <w:color w:val="232323"/>
                <w:sz w:val="17"/>
              </w:rPr>
              <w:t>Are features AD-specific or markers of neurodegeneration/cognitive impairment?</w:t>
            </w:r>
          </w:p>
        </w:tc>
        <w:tc>
          <w:tcPr>
            <w:tcW w:type="dxa" w:w="3744"/>
            <w:vAlign w:val="center"/>
            <w:shd w:fill="F4F6F8"/>
          </w:tcPr>
          <w:p>
            <w:pPr>
              <w:spacing w:after="0"/>
            </w:pPr>
            <w:r/>
            <w:r>
              <w:rPr>
                <w:rFonts w:ascii="Carlito" w:hAnsi="Carlito"/>
                <w:b w:val="0"/>
                <w:color w:val="232323"/>
                <w:sz w:val="17"/>
              </w:rPr>
              <w:t>AD-CN, FTD-CN, and AD-FTD comparison matrix</w:t>
            </w:r>
          </w:p>
        </w:tc>
      </w:tr>
      <w:tr>
        <w:trPr>
          <w:cantSplit/>
        </w:trPr>
        <w:tc>
          <w:tcPr>
            <w:tcW w:type="dxa" w:w="1800"/>
            <w:vAlign w:val="center"/>
          </w:tcPr>
          <w:p>
            <w:pPr>
              <w:spacing w:after="0"/>
            </w:pPr>
            <w:r/>
            <w:r>
              <w:rPr>
                <w:rFonts w:ascii="Carlito" w:hAnsi="Carlito"/>
                <w:b w:val="0"/>
                <w:color w:val="232323"/>
                <w:sz w:val="17"/>
              </w:rPr>
              <w:t>Machine learning</w:t>
            </w:r>
          </w:p>
        </w:tc>
        <w:tc>
          <w:tcPr>
            <w:tcW w:type="dxa" w:w="4536"/>
            <w:vAlign w:val="center"/>
          </w:tcPr>
          <w:p>
            <w:pPr>
              <w:spacing w:after="0"/>
            </w:pPr>
            <w:r/>
            <w:r>
              <w:rPr>
                <w:rFonts w:ascii="Carlito" w:hAnsi="Carlito"/>
                <w:b w:val="0"/>
                <w:color w:val="232323"/>
                <w:sz w:val="17"/>
              </w:rPr>
              <w:t>Which feature families add reproducible predictive value?</w:t>
            </w:r>
          </w:p>
        </w:tc>
        <w:tc>
          <w:tcPr>
            <w:tcW w:type="dxa" w:w="3744"/>
            <w:vAlign w:val="center"/>
          </w:tcPr>
          <w:p>
            <w:pPr>
              <w:spacing w:after="0"/>
            </w:pPr>
            <w:r/>
            <w:r>
              <w:rPr>
                <w:rFonts w:ascii="Carlito" w:hAnsi="Carlito"/>
                <w:b w:val="0"/>
                <w:color w:val="232323"/>
                <w:sz w:val="17"/>
              </w:rPr>
              <w:t>Nested-CV subject-level benchmark</w:t>
            </w:r>
          </w:p>
        </w:tc>
      </w:tr>
      <w:tr>
        <w:trPr>
          <w:cantSplit/>
        </w:trPr>
        <w:tc>
          <w:tcPr>
            <w:tcW w:type="dxa" w:w="1800"/>
            <w:vAlign w:val="center"/>
            <w:shd w:fill="F4F6F8"/>
          </w:tcPr>
          <w:p>
            <w:pPr>
              <w:spacing w:after="0"/>
            </w:pPr>
            <w:r/>
            <w:r>
              <w:rPr>
                <w:rFonts w:ascii="Carlito" w:hAnsi="Carlito"/>
                <w:b w:val="0"/>
                <w:color w:val="232323"/>
                <w:sz w:val="17"/>
              </w:rPr>
              <w:t>Engineering</w:t>
            </w:r>
          </w:p>
        </w:tc>
        <w:tc>
          <w:tcPr>
            <w:tcW w:type="dxa" w:w="4536"/>
            <w:vAlign w:val="center"/>
            <w:shd w:fill="F4F6F8"/>
          </w:tcPr>
          <w:p>
            <w:pPr>
              <w:spacing w:after="0"/>
            </w:pPr>
            <w:r/>
            <w:r>
              <w:rPr>
                <w:rFonts w:ascii="Carlito" w:hAnsi="Carlito"/>
                <w:b w:val="0"/>
                <w:color w:val="232323"/>
                <w:sz w:val="17"/>
              </w:rPr>
              <w:t>How few electrodes preserve robust biomarker information?</w:t>
            </w:r>
          </w:p>
        </w:tc>
        <w:tc>
          <w:tcPr>
            <w:tcW w:type="dxa" w:w="3744"/>
            <w:vAlign w:val="center"/>
            <w:shd w:fill="F4F6F8"/>
          </w:tcPr>
          <w:p>
            <w:pPr>
              <w:spacing w:after="0"/>
            </w:pPr>
            <w:r/>
            <w:r>
              <w:rPr>
                <w:rFonts w:ascii="Carlito" w:hAnsi="Carlito"/>
                <w:b w:val="0"/>
                <w:color w:val="232323"/>
                <w:sz w:val="17"/>
              </w:rPr>
              <w:t>Minimal biologically faithful montage</w:t>
            </w:r>
          </w:p>
        </w:tc>
      </w:tr>
    </w:tbl>
    <w:p>
      <w:pPr>
        <w:spacing w:after="0"/>
      </w:pPr>
    </w:p>
    <w:p>
      <w:pPr>
        <w:pStyle w:val="Heading2"/>
        <w:keepNext/>
      </w:pPr>
      <w:r>
        <w:t>Project endpoint</w:t>
      </w:r>
    </w:p>
    <w:p>
      <w:pPr>
        <w:spacing w:after="110"/>
      </w:pPr>
      <w:r>
        <w:rPr>
          <w:rFonts w:ascii="Carlito" w:hAnsi="Carlito"/>
          <w:i w:val="0"/>
          <w:sz w:val="20"/>
        </w:rPr>
        <w:t>The preferred final result is not necessarily the smallest possible montage. It is the smallest montage that meets pre-specified performance and biomarker-preservation requirements, with uncertainty reported across outer validation folds. If a 4-channel montage classifies well but loses physiologically meaningful information while a 6-channel montage preserves it, the engineering conclusion should favor the 6-channel configuration.</w:t>
      </w:r>
    </w:p>
    <w:p>
      <w:pPr>
        <w:pStyle w:val="Heading1"/>
        <w:keepNext/>
      </w:pPr>
      <w:r>
        <w:t>2. Project Charter</w:t>
      </w:r>
    </w:p>
    <w:p>
      <w:pPr>
        <w:pStyle w:val="Heading2"/>
        <w:keepNext/>
      </w:pPr>
      <w:r>
        <w:t>2.1 Problem statement</w:t>
      </w:r>
    </w:p>
    <w:p>
      <w:pPr>
        <w:spacing w:after="110"/>
      </w:pPr>
      <w:r>
        <w:rPr>
          <w:rFonts w:ascii="Carlito" w:hAnsi="Carlito"/>
          <w:i w:val="0"/>
          <w:sz w:val="20"/>
        </w:rPr>
        <w:t>EEG-based dementia studies frequently use canonical spectral power and coherence as biomarkers. These measures are attractive because they are inexpensive, interpretable, and compatible with standard clinical EEG. However, apparent biomarker effects can depend on frequency-band definitions, normalization choices, aperiodic spectral structure, volume conduction, EEG reference, windowing, and validation strategy. A biomarker that produces high classification accuracy under one pipeline is not automatically a robust biological marker.</w:t>
      </w:r>
    </w:p>
    <w:p>
      <w:pPr>
        <w:pStyle w:val="Heading2"/>
        <w:keepNext/>
      </w:pPr>
      <w:r>
        <w:t>2.2 Primary objective</w:t>
      </w:r>
    </w:p>
    <w:p>
      <w:pPr>
        <w:spacing w:after="110"/>
      </w:pPr>
      <w:r>
        <w:rPr>
          <w:rFonts w:ascii="Carlito" w:hAnsi="Carlito"/>
          <w:i w:val="0"/>
          <w:sz w:val="20"/>
        </w:rPr>
        <w:t>Evaluate the robustness, specificity, and predictive utility of RBP and SCC in ds004504, then engineer a reduced electrode montage that preserves the biomarker information that remains defensible.</w:t>
      </w:r>
    </w:p>
    <w:p>
      <w:pPr>
        <w:pStyle w:val="Heading2"/>
        <w:keepNext/>
      </w:pPr>
      <w:r>
        <w:t>2.3 Scope</w:t>
      </w:r>
    </w:p>
    <w:tbl>
      <w:tblPr>
        <w:tblStyle w:val="TableGrid"/>
        <w:tblW w:type="auto" w:w="0"/>
        <w:jc w:val="center"/>
        <w:tblLook w:firstColumn="1" w:firstRow="1" w:lastColumn="0" w:lastRow="0" w:noHBand="0" w:noVBand="1" w:val="04A0"/>
      </w:tblPr>
      <w:tblGrid>
        <w:gridCol w:w="4997"/>
        <w:gridCol w:w="4997"/>
      </w:tblGrid>
      <w:tr>
        <w:trPr>
          <w:cantSplit/>
        </w:trPr>
        <w:tc>
          <w:tcPr>
            <w:tcW w:type="dxa" w:w="4896"/>
            <w:vAlign w:val="center"/>
            <w:shd w:fill="1B3A6B"/>
          </w:tcPr>
          <w:p>
            <w:pPr>
              <w:spacing w:after="0"/>
            </w:pPr>
            <w:r/>
            <w:r>
              <w:rPr>
                <w:rFonts w:ascii="Carlito" w:hAnsi="Carlito"/>
                <w:b/>
                <w:color w:val="FFFFFF"/>
                <w:sz w:val="18"/>
              </w:rPr>
              <w:t>In scope</w:t>
            </w:r>
          </w:p>
        </w:tc>
        <w:tc>
          <w:tcPr>
            <w:tcW w:type="dxa" w:w="5184"/>
            <w:vAlign w:val="center"/>
            <w:shd w:fill="1B3A6B"/>
          </w:tcPr>
          <w:p>
            <w:pPr>
              <w:spacing w:after="0"/>
            </w:pPr>
            <w:r/>
            <w:r>
              <w:rPr>
                <w:rFonts w:ascii="Carlito" w:hAnsi="Carlito"/>
                <w:b/>
                <w:color w:val="FFFFFF"/>
                <w:sz w:val="18"/>
              </w:rPr>
              <w:t>Out of scope for v1.0</w:t>
            </w:r>
          </w:p>
        </w:tc>
      </w:tr>
      <w:tr>
        <w:trPr>
          <w:cantSplit/>
        </w:trPr>
        <w:tc>
          <w:tcPr>
            <w:tcW w:type="dxa" w:w="4896"/>
            <w:vAlign w:val="center"/>
          </w:tcPr>
          <w:p>
            <w:pPr>
              <w:spacing w:after="0"/>
            </w:pPr>
            <w:r/>
            <w:r>
              <w:rPr>
                <w:rFonts w:ascii="Carlito" w:hAnsi="Carlito"/>
                <w:b w:val="0"/>
                <w:color w:val="232323"/>
                <w:sz w:val="17"/>
              </w:rPr>
              <w:t>Eyes-closed resting EEG from ds004504 v1.0.9</w:t>
            </w:r>
          </w:p>
        </w:tc>
        <w:tc>
          <w:tcPr>
            <w:tcW w:type="dxa" w:w="5184"/>
            <w:vAlign w:val="center"/>
          </w:tcPr>
          <w:p>
            <w:pPr>
              <w:spacing w:after="0"/>
            </w:pPr>
            <w:r/>
            <w:r>
              <w:rPr>
                <w:rFonts w:ascii="Carlito" w:hAnsi="Carlito"/>
                <w:b w:val="0"/>
                <w:color w:val="232323"/>
                <w:sz w:val="17"/>
              </w:rPr>
              <w:t>Clinical deployment or regulatory claims</w:t>
            </w:r>
          </w:p>
        </w:tc>
      </w:tr>
      <w:tr>
        <w:trPr>
          <w:cantSplit/>
        </w:trPr>
        <w:tc>
          <w:tcPr>
            <w:tcW w:type="dxa" w:w="4896"/>
            <w:vAlign w:val="center"/>
            <w:shd w:fill="F4F6F8"/>
          </w:tcPr>
          <w:p>
            <w:pPr>
              <w:spacing w:after="0"/>
            </w:pPr>
            <w:r/>
            <w:r>
              <w:rPr>
                <w:rFonts w:ascii="Carlito" w:hAnsi="Carlito"/>
                <w:b w:val="0"/>
                <w:color w:val="232323"/>
                <w:sz w:val="17"/>
              </w:rPr>
              <w:t>AD, FTD, and cognitively normal groups</w:t>
            </w:r>
          </w:p>
        </w:tc>
        <w:tc>
          <w:tcPr>
            <w:tcW w:type="dxa" w:w="5184"/>
            <w:vAlign w:val="center"/>
            <w:shd w:fill="F4F6F8"/>
          </w:tcPr>
          <w:p>
            <w:pPr>
              <w:spacing w:after="0"/>
            </w:pPr>
            <w:r/>
            <w:r>
              <w:rPr>
                <w:rFonts w:ascii="Carlito" w:hAnsi="Carlito"/>
                <w:b w:val="0"/>
                <w:color w:val="232323"/>
                <w:sz w:val="17"/>
              </w:rPr>
              <w:t>Prospective prediction of future dementia</w:t>
            </w:r>
          </w:p>
        </w:tc>
      </w:tr>
      <w:tr>
        <w:trPr>
          <w:cantSplit/>
        </w:trPr>
        <w:tc>
          <w:tcPr>
            <w:tcW w:type="dxa" w:w="4896"/>
            <w:vAlign w:val="center"/>
          </w:tcPr>
          <w:p>
            <w:pPr>
              <w:spacing w:after="0"/>
            </w:pPr>
            <w:r/>
            <w:r>
              <w:rPr>
                <w:rFonts w:ascii="Carlito" w:hAnsi="Carlito"/>
                <w:b w:val="0"/>
                <w:color w:val="232323"/>
                <w:sz w:val="17"/>
              </w:rPr>
              <w:t>Spectral and connectivity biomarkers</w:t>
            </w:r>
          </w:p>
        </w:tc>
        <w:tc>
          <w:tcPr>
            <w:tcW w:type="dxa" w:w="5184"/>
            <w:vAlign w:val="center"/>
          </w:tcPr>
          <w:p>
            <w:pPr>
              <w:spacing w:after="0"/>
            </w:pPr>
            <w:r/>
            <w:r>
              <w:rPr>
                <w:rFonts w:ascii="Carlito" w:hAnsi="Carlito"/>
                <w:b w:val="0"/>
                <w:color w:val="232323"/>
                <w:sz w:val="17"/>
              </w:rPr>
              <w:t>Source localization as a primary method</w:t>
            </w:r>
          </w:p>
        </w:tc>
      </w:tr>
      <w:tr>
        <w:trPr>
          <w:cantSplit/>
        </w:trPr>
        <w:tc>
          <w:tcPr>
            <w:tcW w:type="dxa" w:w="4896"/>
            <w:vAlign w:val="center"/>
            <w:shd w:fill="F4F6F8"/>
          </w:tcPr>
          <w:p>
            <w:pPr>
              <w:spacing w:after="0"/>
            </w:pPr>
            <w:r/>
            <w:r>
              <w:rPr>
                <w:rFonts w:ascii="Carlito" w:hAnsi="Carlito"/>
                <w:b w:val="0"/>
                <w:color w:val="232323"/>
                <w:sz w:val="17"/>
              </w:rPr>
              <w:t>Subject-level statistics and ML</w:t>
            </w:r>
          </w:p>
        </w:tc>
        <w:tc>
          <w:tcPr>
            <w:tcW w:type="dxa" w:w="5184"/>
            <w:vAlign w:val="center"/>
            <w:shd w:fill="F4F6F8"/>
          </w:tcPr>
          <w:p>
            <w:pPr>
              <w:spacing w:after="0"/>
            </w:pPr>
            <w:r/>
            <w:r>
              <w:rPr>
                <w:rFonts w:ascii="Carlito" w:hAnsi="Carlito"/>
                <w:b w:val="0"/>
                <w:color w:val="232323"/>
                <w:sz w:val="17"/>
              </w:rPr>
              <w:t>Claiming EEG directly measures synaptic strength</w:t>
            </w:r>
          </w:p>
        </w:tc>
      </w:tr>
      <w:tr>
        <w:trPr>
          <w:cantSplit/>
        </w:trPr>
        <w:tc>
          <w:tcPr>
            <w:tcW w:type="dxa" w:w="4896"/>
            <w:vAlign w:val="center"/>
          </w:tcPr>
          <w:p>
            <w:pPr>
              <w:spacing w:after="0"/>
            </w:pPr>
            <w:r/>
            <w:r>
              <w:rPr>
                <w:rFonts w:ascii="Carlito" w:hAnsi="Carlito"/>
                <w:b w:val="0"/>
                <w:color w:val="232323"/>
                <w:sz w:val="17"/>
              </w:rPr>
              <w:t>Classical ML first; DICE architecture as optional replication</w:t>
            </w:r>
          </w:p>
        </w:tc>
        <w:tc>
          <w:tcPr>
            <w:tcW w:type="dxa" w:w="5184"/>
            <w:vAlign w:val="center"/>
          </w:tcPr>
          <w:p>
            <w:pPr>
              <w:spacing w:after="0"/>
            </w:pPr>
            <w:r/>
            <w:r>
              <w:rPr>
                <w:rFonts w:ascii="Carlito" w:hAnsi="Carlito"/>
                <w:b w:val="0"/>
                <w:color w:val="232323"/>
                <w:sz w:val="17"/>
              </w:rPr>
              <w:t>Large deep-learning architecture search</w:t>
            </w:r>
          </w:p>
        </w:tc>
      </w:tr>
      <w:tr>
        <w:trPr>
          <w:cantSplit/>
        </w:trPr>
        <w:tc>
          <w:tcPr>
            <w:tcW w:type="dxa" w:w="4896"/>
            <w:vAlign w:val="center"/>
            <w:shd w:fill="F4F6F8"/>
          </w:tcPr>
          <w:p>
            <w:pPr>
              <w:spacing w:after="0"/>
            </w:pPr>
            <w:r/>
            <w:r>
              <w:rPr>
                <w:rFonts w:ascii="Carlito" w:hAnsi="Carlito"/>
                <w:b w:val="0"/>
                <w:color w:val="232323"/>
                <w:sz w:val="17"/>
              </w:rPr>
              <w:t>Reduced 19-channel montage optimization</w:t>
            </w:r>
          </w:p>
        </w:tc>
        <w:tc>
          <w:tcPr>
            <w:tcW w:type="dxa" w:w="5184"/>
            <w:vAlign w:val="center"/>
            <w:shd w:fill="F4F6F8"/>
          </w:tcPr>
          <w:p>
            <w:pPr>
              <w:spacing w:after="0"/>
            </w:pPr>
            <w:r/>
            <w:r>
              <w:rPr>
                <w:rFonts w:ascii="Carlito" w:hAnsi="Carlito"/>
                <w:b w:val="0"/>
                <w:color w:val="232323"/>
                <w:sz w:val="17"/>
              </w:rPr>
              <w:t>Hardware fabrication in the initial study</w:t>
            </w:r>
          </w:p>
        </w:tc>
      </w:tr>
    </w:tbl>
    <w:p>
      <w:pPr>
        <w:spacing w:after="0"/>
      </w:pPr>
    </w:p>
    <w:p>
      <w:pPr>
        <w:pStyle w:val="Heading2"/>
        <w:keepNext/>
      </w:pPr>
      <w:r>
        <w:t>2.4 Primary and secondary ML tasks</w:t>
      </w:r>
    </w:p>
    <w:p>
      <w:pPr>
        <w:pStyle w:val="ListBullet"/>
        <w:spacing w:after="40"/>
      </w:pPr>
      <w:r>
        <w:rPr>
          <w:rFonts w:ascii="Carlito" w:hAnsi="Carlito"/>
          <w:sz w:val="20"/>
        </w:rPr>
        <w:t>Primary benchmark: AD vs cognitively normal (CN), because this directly matches the principal DICE-Net benchmark.</w:t>
      </w:r>
    </w:p>
    <w:p>
      <w:pPr>
        <w:pStyle w:val="ListBullet"/>
        <w:spacing w:after="40"/>
      </w:pPr>
      <w:r>
        <w:rPr>
          <w:rFonts w:ascii="Carlito" w:hAnsi="Carlito"/>
          <w:sz w:val="20"/>
        </w:rPr>
        <w:t>Secondary specificity task: FTD vs CN.</w:t>
      </w:r>
    </w:p>
    <w:p>
      <w:pPr>
        <w:pStyle w:val="ListBullet"/>
        <w:spacing w:after="40"/>
      </w:pPr>
      <w:r>
        <w:rPr>
          <w:rFonts w:ascii="Carlito" w:hAnsi="Carlito"/>
          <w:sz w:val="20"/>
        </w:rPr>
        <w:t>Critical differential-diagnosis task: AD vs FTD.</w:t>
      </w:r>
    </w:p>
    <w:p>
      <w:pPr>
        <w:pStyle w:val="ListBullet"/>
        <w:spacing w:after="40"/>
      </w:pPr>
      <w:r>
        <w:rPr>
          <w:rFonts w:ascii="Carlito" w:hAnsi="Carlito"/>
          <w:sz w:val="20"/>
        </w:rPr>
        <w:t>Optional engineering task after the critique: dementia (AD + FTD) vs CN, clearly labeled as a broader screening classification rather than AD-specific detection.</w:t>
      </w:r>
    </w:p>
    <w:p>
      <w:pPr>
        <w:pStyle w:val="Heading1"/>
        <w:keepNext/>
      </w:pPr>
      <w:r>
        <w:t>3. Scientific Background and Research Gap</w:t>
      </w:r>
    </w:p>
    <w:p>
      <w:pPr>
        <w:pStyle w:val="Heading2"/>
        <w:keepNext/>
      </w:pPr>
      <w:r>
        <w:t>3.1 Dataset and DICE-Net baseline</w:t>
      </w:r>
    </w:p>
    <w:p>
      <w:pPr>
        <w:spacing w:after="110"/>
      </w:pPr>
      <w:r>
        <w:rPr>
          <w:rFonts w:ascii="Carlito" w:hAnsi="Carlito"/>
          <w:i w:val="0"/>
          <w:sz w:val="20"/>
        </w:rPr>
        <w:t>The AHEPA/OpenNeuro dataset contains 88 eyes-closed resting-state EEG recordings: 36 Alzheimer's disease (AD), 23 Frontotemporal Dementia (FTD), and 29 cognitively normal controls (CN). Recordings use 19 standard 10-20 scalp channels and a 500 Hz sampling rate. The dataset is openly available as OpenNeuro ds004504, including raw and preprocessed data [1].</w:t>
      </w:r>
    </w:p>
    <w:p>
      <w:pPr>
        <w:spacing w:after="110"/>
      </w:pPr>
      <w:r>
        <w:rPr>
          <w:rFonts w:ascii="Carlito" w:hAnsi="Carlito"/>
          <w:i w:val="0"/>
          <w:sz w:val="20"/>
        </w:rPr>
        <w:t>DICE-Net used RBP and SCC as dual inputs to a convolution-transformer model. Its AD-CN analysis used 30-second windows with 15-second overlap, five fixed frequency bands, and Leave-One-Subject-Out (LOSO) validation. The reported AD-CN accuracy was 83.28% [2]. DICE-Net also reported that the RBP branch received greater learned weight magnitude than SCC, while temporal and occipital channels such as T5, O1, O2, T4, and F8 were prominent for AD discrimination [2].</w:t>
      </w:r>
    </w:p>
    <w:p>
      <w:pPr>
        <w:pStyle w:val="Heading2"/>
        <w:keepNext/>
      </w:pPr>
      <w:r>
        <w:t>3.2 Why a critique is needed</w:t>
      </w:r>
    </w:p>
    <w:p>
      <w:pPr>
        <w:pStyle w:val="ListBullet"/>
        <w:spacing w:after="40"/>
      </w:pPr>
      <w:r>
        <w:rPr>
          <w:rFonts w:ascii="Carlito" w:hAnsi="Carlito"/>
          <w:sz w:val="20"/>
        </w:rPr>
        <w:t>Fixed bands can misattribute an individual alpha frequency (IAF) shift to changes in theta or alpha power.</w:t>
      </w:r>
    </w:p>
    <w:p>
      <w:pPr>
        <w:pStyle w:val="ListBullet"/>
        <w:spacing w:after="40"/>
      </w:pPr>
      <w:r>
        <w:rPr>
          <w:rFonts w:ascii="Carlito" w:hAnsi="Carlito"/>
          <w:sz w:val="20"/>
        </w:rPr>
        <w:t>Relative power is compositional: a change in one band changes the denominator and therefore the reported fraction in other bands.</w:t>
      </w:r>
    </w:p>
    <w:p>
      <w:pPr>
        <w:pStyle w:val="ListBullet"/>
        <w:spacing w:after="40"/>
      </w:pPr>
      <w:r>
        <w:rPr>
          <w:rFonts w:ascii="Carlito" w:hAnsi="Carlito"/>
          <w:sz w:val="20"/>
        </w:rPr>
        <w:t>Canonical band power can mix periodic oscillatory changes with aperiodic 1/f-like changes; spectral parameterization is designed to separate these components [4].</w:t>
      </w:r>
    </w:p>
    <w:p>
      <w:pPr>
        <w:pStyle w:val="ListBullet"/>
        <w:spacing w:after="40"/>
      </w:pPr>
      <w:r>
        <w:rPr>
          <w:rFonts w:ascii="Carlito" w:hAnsi="Carlito"/>
          <w:sz w:val="20"/>
        </w:rPr>
        <w:t>Magnitude coherence can be inflated by volume conduction and common sources. wPLI and imaginary coherence provide complementary tests that reduce sensitivity to zero-lag coupling [5].</w:t>
      </w:r>
    </w:p>
    <w:p>
      <w:pPr>
        <w:pStyle w:val="ListBullet"/>
        <w:spacing w:after="40"/>
      </w:pPr>
      <w:r>
        <w:rPr>
          <w:rFonts w:ascii="Carlito" w:hAnsi="Carlito"/>
          <w:sz w:val="20"/>
        </w:rPr>
        <w:t>A feature that separates AD from CN may also separate FTD from CN; this makes it a dementia-associated marker rather than an AD-specific marker.</w:t>
      </w:r>
    </w:p>
    <w:p>
      <w:pPr>
        <w:pStyle w:val="ListBullet"/>
        <w:spacing w:after="40"/>
      </w:pPr>
      <w:r>
        <w:rPr>
          <w:rFonts w:ascii="Carlito" w:hAnsi="Carlito"/>
          <w:sz w:val="20"/>
        </w:rPr>
        <w:t>Recent review of the AHEPA benchmark emphasizes that subject-level validation is essential and that epoch-level validation can produce misleadingly optimistic performance [3].</w:t>
      </w:r>
    </w:p>
    <w:p>
      <w:pPr>
        <w:pStyle w:val="Heading2"/>
        <w:keepNext/>
      </w:pPr>
      <w:r>
        <w:t>3.3 Synaptic/network dysfunction interpretation</w:t>
      </w:r>
    </w:p>
    <w:tbl>
      <w:tblPr>
        <w:tblW w:type="auto" w:w="0"/>
        <w:jc w:val="center"/>
        <w:tblLook w:firstColumn="1" w:firstRow="1" w:lastColumn="0" w:lastRow="0" w:noHBand="0" w:noVBand="1" w:val="04A0"/>
      </w:tblPr>
      <w:tblGrid>
        <w:gridCol w:w="9994"/>
      </w:tblGrid>
      <w:tr>
        <w:trPr>
          <w:cantSplit/>
        </w:trPr>
        <w:tc>
          <w:tcPr>
            <w:tcW w:type="dxa" w:w="9994"/>
            <w:shd w:fill="EAF0F8"/>
          </w:tcPr>
          <w:p>
            <w:pPr>
              <w:spacing w:after="40"/>
            </w:pPr>
            <w:r>
              <w:rPr>
                <w:rFonts w:ascii="Carlito" w:hAnsi="Carlito"/>
                <w:b/>
                <w:color w:val="1B3A6B"/>
                <w:sz w:val="20"/>
              </w:rPr>
              <w:t xml:space="preserve">Interpretation boundary:  </w:t>
            </w:r>
            <w:r>
              <w:rPr>
                <w:rFonts w:ascii="Carlito" w:hAnsi="Carlito"/>
                <w:sz w:val="20"/>
              </w:rPr>
              <w:t>Spectral and connectivity EEG features may reflect altered network dynamics associated with neurodegeneration, synaptic dysfunction, neurotransmitter changes, and excitation/inhibition regulation. They are indirect electrophysiological correlates. This project must not state that scalp EEG directly measures synaptic loss or synaptic strength.</w:t>
            </w:r>
          </w:p>
        </w:tc>
      </w:tr>
    </w:tbl>
    <w:p>
      <w:pPr>
        <w:spacing w:after="0"/>
      </w:pPr>
    </w:p>
    <w:p>
      <w:pPr>
        <w:spacing w:after="110"/>
      </w:pPr>
      <w:r>
        <w:rPr>
          <w:rFonts w:ascii="Carlito" w:hAnsi="Carlito"/>
          <w:i w:val="0"/>
          <w:sz w:val="20"/>
        </w:rPr>
        <w:t>The synaptic-dysfunction angle is therefore best used as a mechanistic interpretation layer: if aperiodic, oscillatory, complexity, or lagged-connectivity features are robust, the discussion can relate them to circuit-level dysfunction while explicitly separating measurement from mechanism.</w:t>
      </w:r>
    </w:p>
    <w:p>
      <w:pPr>
        <w:pStyle w:val="Heading1"/>
        <w:keepNext/>
      </w:pPr>
      <w:r>
        <w:t>4. Research Questions, Aims, and Hypotheses</w:t>
      </w:r>
    </w:p>
    <w:p>
      <w:pPr>
        <w:pStyle w:val="Heading2"/>
        <w:keepNext/>
      </w:pPr>
      <w:r>
        <w:t>4.1 Main research question</w:t>
      </w:r>
    </w:p>
    <w:p>
      <w:pPr>
        <w:spacing w:after="110"/>
      </w:pPr>
      <w:r>
        <w:rPr>
          <w:rFonts w:ascii="Carlito" w:hAnsi="Carlito"/>
          <w:i w:val="0"/>
          <w:sz w:val="20"/>
        </w:rPr>
        <w:t>Do RBP and SCC provide robust, disease-specific, and method-stable EEG biomarkers of Alzheimer's disease when individual spectral slowing, periodic/aperiodic structure, volume-conduction-sensitive connectivity, clinical severity, and FTD are explicitly considered?</w:t>
      </w:r>
    </w:p>
    <w:p>
      <w:pPr>
        <w:pStyle w:val="Heading2"/>
        <w:keepNext/>
      </w:pPr>
      <w:r>
        <w:t>4.2 Engineering question</w:t>
      </w:r>
    </w:p>
    <w:p>
      <w:pPr>
        <w:spacing w:after="110"/>
      </w:pPr>
      <w:r>
        <w:rPr>
          <w:rFonts w:ascii="Carlito" w:hAnsi="Carlito"/>
          <w:i w:val="0"/>
          <w:sz w:val="20"/>
        </w:rPr>
        <w:t>What is the smallest scalp electrode configuration that preserves both subject-level machine-learning performance and the robust electrophysiological biomarkers identified by the critique?</w:t>
      </w:r>
    </w:p>
    <w:p>
      <w:pPr>
        <w:pStyle w:val="Heading2"/>
        <w:keepNext/>
      </w:pPr>
      <w:r>
        <w:t>4.3 Specific aims</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936"/>
            <w:vAlign w:val="center"/>
            <w:shd w:fill="1B3A6B"/>
          </w:tcPr>
          <w:p>
            <w:pPr>
              <w:spacing w:after="0"/>
            </w:pPr>
            <w:r/>
            <w:r>
              <w:rPr>
                <w:rFonts w:ascii="Carlito" w:hAnsi="Carlito"/>
                <w:b/>
                <w:color w:val="FFFFFF"/>
                <w:sz w:val="18"/>
              </w:rPr>
              <w:t>Aim</w:t>
            </w:r>
          </w:p>
        </w:tc>
        <w:tc>
          <w:tcPr>
            <w:tcW w:type="dxa" w:w="5904"/>
            <w:vAlign w:val="center"/>
            <w:shd w:fill="1B3A6B"/>
          </w:tcPr>
          <w:p>
            <w:pPr>
              <w:spacing w:after="0"/>
            </w:pPr>
            <w:r/>
            <w:r>
              <w:rPr>
                <w:rFonts w:ascii="Carlito" w:hAnsi="Carlito"/>
                <w:b/>
                <w:color w:val="FFFFFF"/>
                <w:sz w:val="18"/>
              </w:rPr>
              <w:t>Description</w:t>
            </w:r>
          </w:p>
        </w:tc>
        <w:tc>
          <w:tcPr>
            <w:tcW w:type="dxa" w:w="3240"/>
            <w:vAlign w:val="center"/>
            <w:shd w:fill="1B3A6B"/>
          </w:tcPr>
          <w:p>
            <w:pPr>
              <w:spacing w:after="0"/>
            </w:pPr>
            <w:r/>
            <w:r>
              <w:rPr>
                <w:rFonts w:ascii="Carlito" w:hAnsi="Carlito"/>
                <w:b/>
                <w:color w:val="FFFFFF"/>
                <w:sz w:val="18"/>
              </w:rPr>
              <w:t>Success criterion</w:t>
            </w:r>
          </w:p>
        </w:tc>
      </w:tr>
      <w:tr>
        <w:trPr>
          <w:cantSplit/>
        </w:trPr>
        <w:tc>
          <w:tcPr>
            <w:tcW w:type="dxa" w:w="936"/>
            <w:vAlign w:val="center"/>
          </w:tcPr>
          <w:p>
            <w:pPr>
              <w:spacing w:after="0"/>
            </w:pPr>
            <w:r/>
            <w:r>
              <w:rPr>
                <w:rFonts w:ascii="Carlito" w:hAnsi="Carlito"/>
                <w:b w:val="0"/>
                <w:color w:val="232323"/>
                <w:sz w:val="17"/>
              </w:rPr>
              <w:t>Aim 1</w:t>
            </w:r>
          </w:p>
        </w:tc>
        <w:tc>
          <w:tcPr>
            <w:tcW w:type="dxa" w:w="5904"/>
            <w:vAlign w:val="center"/>
          </w:tcPr>
          <w:p>
            <w:pPr>
              <w:spacing w:after="0"/>
            </w:pPr>
            <w:r/>
            <w:r>
              <w:rPr>
                <w:rFonts w:ascii="Carlito" w:hAnsi="Carlito"/>
                <w:b w:val="0"/>
                <w:color w:val="232323"/>
                <w:sz w:val="17"/>
              </w:rPr>
              <w:t>Reproduce DICE-style RBP and SCC features and AD-CN discrimination.</w:t>
            </w:r>
          </w:p>
        </w:tc>
        <w:tc>
          <w:tcPr>
            <w:tcW w:type="dxa" w:w="3240"/>
            <w:vAlign w:val="center"/>
          </w:tcPr>
          <w:p>
            <w:pPr>
              <w:spacing w:after="0"/>
            </w:pPr>
            <w:r/>
            <w:r>
              <w:rPr>
                <w:rFonts w:ascii="Carlito" w:hAnsi="Carlito"/>
                <w:b w:val="0"/>
                <w:color w:val="232323"/>
                <w:sz w:val="17"/>
              </w:rPr>
              <w:t>Expected directions and plausible baseline performance under subject-level validation.</w:t>
            </w:r>
          </w:p>
        </w:tc>
      </w:tr>
      <w:tr>
        <w:trPr>
          <w:cantSplit/>
        </w:trPr>
        <w:tc>
          <w:tcPr>
            <w:tcW w:type="dxa" w:w="936"/>
            <w:vAlign w:val="center"/>
            <w:shd w:fill="F4F6F8"/>
          </w:tcPr>
          <w:p>
            <w:pPr>
              <w:spacing w:after="0"/>
            </w:pPr>
            <w:r/>
            <w:r>
              <w:rPr>
                <w:rFonts w:ascii="Carlito" w:hAnsi="Carlito"/>
                <w:b w:val="0"/>
                <w:color w:val="232323"/>
                <w:sz w:val="17"/>
              </w:rPr>
              <w:t>Aim 2</w:t>
            </w:r>
          </w:p>
        </w:tc>
        <w:tc>
          <w:tcPr>
            <w:tcW w:type="dxa" w:w="5904"/>
            <w:vAlign w:val="center"/>
            <w:shd w:fill="F4F6F8"/>
          </w:tcPr>
          <w:p>
            <w:pPr>
              <w:spacing w:after="0"/>
            </w:pPr>
            <w:r/>
            <w:r>
              <w:rPr>
                <w:rFonts w:ascii="Carlito" w:hAnsi="Carlito"/>
                <w:b w:val="0"/>
                <w:color w:val="232323"/>
                <w:sz w:val="17"/>
              </w:rPr>
              <w:t>Challenge fixed-band RBP with IAF, absolute power, and periodic/aperiodic parameterization.</w:t>
            </w:r>
          </w:p>
        </w:tc>
        <w:tc>
          <w:tcPr>
            <w:tcW w:type="dxa" w:w="3240"/>
            <w:vAlign w:val="center"/>
            <w:shd w:fill="F4F6F8"/>
          </w:tcPr>
          <w:p>
            <w:pPr>
              <w:spacing w:after="0"/>
            </w:pPr>
            <w:r/>
            <w:r>
              <w:rPr>
                <w:rFonts w:ascii="Carlito" w:hAnsi="Carlito"/>
                <w:b w:val="0"/>
                <w:color w:val="232323"/>
                <w:sz w:val="17"/>
              </w:rPr>
              <w:t>Determine which spectral effects are invariant vs method-dependent.</w:t>
            </w:r>
          </w:p>
        </w:tc>
      </w:tr>
      <w:tr>
        <w:trPr>
          <w:cantSplit/>
        </w:trPr>
        <w:tc>
          <w:tcPr>
            <w:tcW w:type="dxa" w:w="936"/>
            <w:vAlign w:val="center"/>
          </w:tcPr>
          <w:p>
            <w:pPr>
              <w:spacing w:after="0"/>
            </w:pPr>
            <w:r/>
            <w:r>
              <w:rPr>
                <w:rFonts w:ascii="Carlito" w:hAnsi="Carlito"/>
                <w:b w:val="0"/>
                <w:color w:val="232323"/>
                <w:sz w:val="17"/>
              </w:rPr>
              <w:t>Aim 3</w:t>
            </w:r>
          </w:p>
        </w:tc>
        <w:tc>
          <w:tcPr>
            <w:tcW w:type="dxa" w:w="5904"/>
            <w:vAlign w:val="center"/>
          </w:tcPr>
          <w:p>
            <w:pPr>
              <w:spacing w:after="0"/>
            </w:pPr>
            <w:r/>
            <w:r>
              <w:rPr>
                <w:rFonts w:ascii="Carlito" w:hAnsi="Carlito"/>
                <w:b w:val="0"/>
                <w:color w:val="232323"/>
                <w:sz w:val="17"/>
              </w:rPr>
              <w:t>Challenge SCC using wPLI, debiased wPLI, imaginary coherence, and reference sensitivity.</w:t>
            </w:r>
          </w:p>
        </w:tc>
        <w:tc>
          <w:tcPr>
            <w:tcW w:type="dxa" w:w="3240"/>
            <w:vAlign w:val="center"/>
          </w:tcPr>
          <w:p>
            <w:pPr>
              <w:spacing w:after="0"/>
            </w:pPr>
            <w:r/>
            <w:r>
              <w:rPr>
                <w:rFonts w:ascii="Carlito" w:hAnsi="Carlito"/>
                <w:b w:val="0"/>
                <w:color w:val="232323"/>
                <w:sz w:val="17"/>
              </w:rPr>
              <w:t>Determine which connectivity effects survive conservative alternatives.</w:t>
            </w:r>
          </w:p>
        </w:tc>
      </w:tr>
      <w:tr>
        <w:trPr>
          <w:cantSplit/>
        </w:trPr>
        <w:tc>
          <w:tcPr>
            <w:tcW w:type="dxa" w:w="936"/>
            <w:vAlign w:val="center"/>
            <w:shd w:fill="F4F6F8"/>
          </w:tcPr>
          <w:p>
            <w:pPr>
              <w:spacing w:after="0"/>
            </w:pPr>
            <w:r/>
            <w:r>
              <w:rPr>
                <w:rFonts w:ascii="Carlito" w:hAnsi="Carlito"/>
                <w:b w:val="0"/>
                <w:color w:val="232323"/>
                <w:sz w:val="17"/>
              </w:rPr>
              <w:t>Aim 4</w:t>
            </w:r>
          </w:p>
        </w:tc>
        <w:tc>
          <w:tcPr>
            <w:tcW w:type="dxa" w:w="5904"/>
            <w:vAlign w:val="center"/>
            <w:shd w:fill="F4F6F8"/>
          </w:tcPr>
          <w:p>
            <w:pPr>
              <w:spacing w:after="0"/>
            </w:pPr>
            <w:r/>
            <w:r>
              <w:rPr>
                <w:rFonts w:ascii="Carlito" w:hAnsi="Carlito"/>
                <w:b w:val="0"/>
                <w:color w:val="232323"/>
                <w:sz w:val="17"/>
              </w:rPr>
              <w:t>Test specificity using AD-CN, FTD-CN, AD-FTD, and MMSE analyses.</w:t>
            </w:r>
          </w:p>
        </w:tc>
        <w:tc>
          <w:tcPr>
            <w:tcW w:type="dxa" w:w="3240"/>
            <w:vAlign w:val="center"/>
            <w:shd w:fill="F4F6F8"/>
          </w:tcPr>
          <w:p>
            <w:pPr>
              <w:spacing w:after="0"/>
            </w:pPr>
            <w:r/>
            <w:r>
              <w:rPr>
                <w:rFonts w:ascii="Carlito" w:hAnsi="Carlito"/>
                <w:b w:val="0"/>
                <w:color w:val="232323"/>
                <w:sz w:val="17"/>
              </w:rPr>
              <w:t>Classify features as AD-specific, dementia-associated, severity-associated, or unstable.</w:t>
            </w:r>
          </w:p>
        </w:tc>
      </w:tr>
      <w:tr>
        <w:trPr>
          <w:cantSplit/>
        </w:trPr>
        <w:tc>
          <w:tcPr>
            <w:tcW w:type="dxa" w:w="936"/>
            <w:vAlign w:val="center"/>
          </w:tcPr>
          <w:p>
            <w:pPr>
              <w:spacing w:after="0"/>
            </w:pPr>
            <w:r/>
            <w:r>
              <w:rPr>
                <w:rFonts w:ascii="Carlito" w:hAnsi="Carlito"/>
                <w:b w:val="0"/>
                <w:color w:val="232323"/>
                <w:sz w:val="17"/>
              </w:rPr>
              <w:t>Aim 5</w:t>
            </w:r>
          </w:p>
        </w:tc>
        <w:tc>
          <w:tcPr>
            <w:tcW w:type="dxa" w:w="5904"/>
            <w:vAlign w:val="center"/>
          </w:tcPr>
          <w:p>
            <w:pPr>
              <w:spacing w:after="0"/>
            </w:pPr>
            <w:r/>
            <w:r>
              <w:rPr>
                <w:rFonts w:ascii="Carlito" w:hAnsi="Carlito"/>
                <w:b w:val="0"/>
                <w:color w:val="232323"/>
                <w:sz w:val="17"/>
              </w:rPr>
              <w:t>Compare feature families with leakage-safe ML.</w:t>
            </w:r>
          </w:p>
        </w:tc>
        <w:tc>
          <w:tcPr>
            <w:tcW w:type="dxa" w:w="3240"/>
            <w:vAlign w:val="center"/>
          </w:tcPr>
          <w:p>
            <w:pPr>
              <w:spacing w:after="0"/>
            </w:pPr>
            <w:r/>
            <w:r>
              <w:rPr>
                <w:rFonts w:ascii="Carlito" w:hAnsi="Carlito"/>
                <w:b w:val="0"/>
                <w:color w:val="232323"/>
                <w:sz w:val="17"/>
              </w:rPr>
              <w:t>Estimate out-of-sample incremental value with uncertainty.</w:t>
            </w:r>
          </w:p>
        </w:tc>
      </w:tr>
      <w:tr>
        <w:trPr>
          <w:cantSplit/>
        </w:trPr>
        <w:tc>
          <w:tcPr>
            <w:tcW w:type="dxa" w:w="936"/>
            <w:vAlign w:val="center"/>
            <w:shd w:fill="F4F6F8"/>
          </w:tcPr>
          <w:p>
            <w:pPr>
              <w:spacing w:after="0"/>
            </w:pPr>
            <w:r/>
            <w:r>
              <w:rPr>
                <w:rFonts w:ascii="Carlito" w:hAnsi="Carlito"/>
                <w:b w:val="0"/>
                <w:color w:val="232323"/>
                <w:sz w:val="17"/>
              </w:rPr>
              <w:t>Aim 6</w:t>
            </w:r>
          </w:p>
        </w:tc>
        <w:tc>
          <w:tcPr>
            <w:tcW w:type="dxa" w:w="5904"/>
            <w:vAlign w:val="center"/>
            <w:shd w:fill="F4F6F8"/>
          </w:tcPr>
          <w:p>
            <w:pPr>
              <w:spacing w:after="0"/>
            </w:pPr>
            <w:r/>
            <w:r>
              <w:rPr>
                <w:rFonts w:ascii="Carlito" w:hAnsi="Carlito"/>
                <w:b w:val="0"/>
                <w:color w:val="232323"/>
                <w:sz w:val="17"/>
              </w:rPr>
              <w:t>Optimize electrode count and placement.</w:t>
            </w:r>
          </w:p>
        </w:tc>
        <w:tc>
          <w:tcPr>
            <w:tcW w:type="dxa" w:w="3240"/>
            <w:vAlign w:val="center"/>
            <w:shd w:fill="F4F6F8"/>
          </w:tcPr>
          <w:p>
            <w:pPr>
              <w:spacing w:after="0"/>
            </w:pPr>
            <w:r/>
            <w:r>
              <w:rPr>
                <w:rFonts w:ascii="Carlito" w:hAnsi="Carlito"/>
                <w:b w:val="0"/>
                <w:color w:val="232323"/>
                <w:sz w:val="17"/>
              </w:rPr>
              <w:t>Identify minimum montage satisfying pre-registered preservation criteria.</w:t>
            </w:r>
          </w:p>
        </w:tc>
      </w:tr>
    </w:tbl>
    <w:p>
      <w:pPr>
        <w:spacing w:after="0"/>
      </w:pPr>
    </w:p>
    <w:p>
      <w:pPr>
        <w:pStyle w:val="Heading2"/>
        <w:keepNext/>
      </w:pPr>
      <w:r>
        <w:t>4.4 Pre-specified hypotheses</w:t>
      </w:r>
    </w:p>
    <w:p>
      <w:pPr>
        <w:pStyle w:val="ListBullet"/>
        <w:spacing w:after="40"/>
      </w:pPr>
      <w:r>
        <w:rPr>
          <w:rFonts w:ascii="Carlito" w:hAnsi="Carlito"/>
          <w:sz w:val="20"/>
        </w:rPr>
        <w:t>H1 - Replication: AD will show spectral slowing relative to CN, including higher slow-frequency and lower alpha-related measures.</w:t>
      </w:r>
    </w:p>
    <w:p>
      <w:pPr>
        <w:pStyle w:val="ListBullet"/>
        <w:spacing w:after="40"/>
      </w:pPr>
      <w:r>
        <w:rPr>
          <w:rFonts w:ascii="Carlito" w:hAnsi="Carlito"/>
          <w:sz w:val="20"/>
        </w:rPr>
        <w:t>H2 - Fixed-band sensitivity: part of the apparent theta/alpha change will be altered when bands are individualized around IAF.</w:t>
      </w:r>
    </w:p>
    <w:p>
      <w:pPr>
        <w:pStyle w:val="ListBullet"/>
        <w:spacing w:after="40"/>
      </w:pPr>
      <w:r>
        <w:rPr>
          <w:rFonts w:ascii="Carlito" w:hAnsi="Carlito"/>
          <w:sz w:val="20"/>
        </w:rPr>
        <w:t>H3 - Spectral decomposition: some canonical band-power effects will change after periodic and aperiodic components are separated.</w:t>
      </w:r>
    </w:p>
    <w:p>
      <w:pPr>
        <w:pStyle w:val="ListBullet"/>
        <w:spacing w:after="40"/>
      </w:pPr>
      <w:r>
        <w:rPr>
          <w:rFonts w:ascii="Carlito" w:hAnsi="Carlito"/>
          <w:sz w:val="20"/>
        </w:rPr>
        <w:t>H4 - Connectivity sensitivity: some SCC effects will attenuate or change when using wPLI/imaginary coherence and alternative references.</w:t>
      </w:r>
    </w:p>
    <w:p>
      <w:pPr>
        <w:pStyle w:val="ListBullet"/>
        <w:spacing w:after="40"/>
      </w:pPr>
      <w:r>
        <w:rPr>
          <w:rFonts w:ascii="Carlito" w:hAnsi="Carlito"/>
          <w:sz w:val="20"/>
        </w:rPr>
        <w:t>H5 - Specificity: a subset of AD-CN effects will also be present in FTD-CN, indicating broader dementia/neurodegeneration associations.</w:t>
      </w:r>
    </w:p>
    <w:p>
      <w:pPr>
        <w:pStyle w:val="ListBullet"/>
        <w:spacing w:after="40"/>
      </w:pPr>
      <w:r>
        <w:rPr>
          <w:rFonts w:ascii="Carlito" w:hAnsi="Carlito"/>
          <w:sz w:val="20"/>
        </w:rPr>
        <w:t>H6 - ML parsimony: corrected or decomposed spectral features will provide similar or better subject-level performance than raw RBP alone without requiring a complex neural network.</w:t>
      </w:r>
    </w:p>
    <w:p>
      <w:pPr>
        <w:pStyle w:val="ListBullet"/>
        <w:spacing w:after="40"/>
      </w:pPr>
      <w:r>
        <w:rPr>
          <w:rFonts w:ascii="Carlito" w:hAnsi="Carlito"/>
          <w:sz w:val="20"/>
        </w:rPr>
        <w:t>H7 - Montage reduction: a sparse montage can preserve most classification information, but extreme channel reduction will lose some spatial/network biomarker information.</w:t>
      </w:r>
    </w:p>
    <w:p>
      <w:r>
        <w:br w:type="page"/>
      </w:r>
    </w:p>
    <w:p>
      <w:pPr>
        <w:pStyle w:val="Heading1"/>
        <w:keepNext/>
      </w:pPr>
      <w:r>
        <w:t>5. Dataset Specification</w:t>
      </w:r>
    </w:p>
    <w:tbl>
      <w:tblPr>
        <w:tblStyle w:val="TableGrid"/>
        <w:tblW w:type="auto" w:w="0"/>
        <w:jc w:val="center"/>
        <w:tblLook w:firstColumn="1" w:firstRow="1" w:lastColumn="0" w:lastRow="0" w:noHBand="0" w:noVBand="1" w:val="04A0"/>
      </w:tblPr>
      <w:tblGrid>
        <w:gridCol w:w="4997"/>
        <w:gridCol w:w="4997"/>
      </w:tblGrid>
      <w:tr>
        <w:trPr>
          <w:cantSplit/>
        </w:trPr>
        <w:tc>
          <w:tcPr>
            <w:tcW w:type="dxa" w:w="2520"/>
            <w:vAlign w:val="center"/>
            <w:shd w:fill="1B3A6B"/>
          </w:tcPr>
          <w:p>
            <w:pPr>
              <w:spacing w:after="0"/>
            </w:pPr>
            <w:r/>
            <w:r>
              <w:rPr>
                <w:rFonts w:ascii="Carlito" w:hAnsi="Carlito"/>
                <w:b/>
                <w:color w:val="FFFFFF"/>
                <w:sz w:val="18"/>
              </w:rPr>
              <w:t>Property</w:t>
            </w:r>
          </w:p>
        </w:tc>
        <w:tc>
          <w:tcPr>
            <w:tcW w:type="dxa" w:w="7560"/>
            <w:vAlign w:val="center"/>
            <w:shd w:fill="1B3A6B"/>
          </w:tcPr>
          <w:p>
            <w:pPr>
              <w:spacing w:after="0"/>
            </w:pPr>
            <w:r/>
            <w:r>
              <w:rPr>
                <w:rFonts w:ascii="Carlito" w:hAnsi="Carlito"/>
                <w:b/>
                <w:color w:val="FFFFFF"/>
                <w:sz w:val="18"/>
              </w:rPr>
              <w:t>Specification</w:t>
            </w:r>
          </w:p>
        </w:tc>
      </w:tr>
      <w:tr>
        <w:trPr>
          <w:cantSplit/>
        </w:trPr>
        <w:tc>
          <w:tcPr>
            <w:tcW w:type="dxa" w:w="2520"/>
            <w:vAlign w:val="center"/>
          </w:tcPr>
          <w:p>
            <w:pPr>
              <w:spacing w:after="0"/>
            </w:pPr>
            <w:r/>
            <w:r>
              <w:rPr>
                <w:rFonts w:ascii="Carlito" w:hAnsi="Carlito"/>
                <w:b w:val="0"/>
                <w:color w:val="232323"/>
                <w:sz w:val="17"/>
              </w:rPr>
              <w:t>Dataset</w:t>
            </w:r>
          </w:p>
        </w:tc>
        <w:tc>
          <w:tcPr>
            <w:tcW w:type="dxa" w:w="7560"/>
            <w:vAlign w:val="center"/>
          </w:tcPr>
          <w:p>
            <w:pPr>
              <w:spacing w:after="0"/>
            </w:pPr>
            <w:r/>
            <w:r>
              <w:rPr>
                <w:rFonts w:ascii="Carlito" w:hAnsi="Carlito"/>
                <w:b w:val="0"/>
                <w:color w:val="232323"/>
                <w:sz w:val="17"/>
              </w:rPr>
              <w:t>OpenNeuro ds004504, snapshot v1.0.9</w:t>
            </w:r>
          </w:p>
        </w:tc>
      </w:tr>
      <w:tr>
        <w:trPr>
          <w:cantSplit/>
        </w:trPr>
        <w:tc>
          <w:tcPr>
            <w:tcW w:type="dxa" w:w="2520"/>
            <w:vAlign w:val="center"/>
            <w:shd w:fill="F4F6F8"/>
          </w:tcPr>
          <w:p>
            <w:pPr>
              <w:spacing w:after="0"/>
            </w:pPr>
            <w:r/>
            <w:r>
              <w:rPr>
                <w:rFonts w:ascii="Carlito" w:hAnsi="Carlito"/>
                <w:b w:val="0"/>
                <w:color w:val="232323"/>
                <w:sz w:val="17"/>
              </w:rPr>
              <w:t>Modality</w:t>
            </w:r>
          </w:p>
        </w:tc>
        <w:tc>
          <w:tcPr>
            <w:tcW w:type="dxa" w:w="7560"/>
            <w:vAlign w:val="center"/>
            <w:shd w:fill="F4F6F8"/>
          </w:tcPr>
          <w:p>
            <w:pPr>
              <w:spacing w:after="0"/>
            </w:pPr>
            <w:r/>
            <w:r>
              <w:rPr>
                <w:rFonts w:ascii="Carlito" w:hAnsi="Carlito"/>
                <w:b w:val="0"/>
                <w:color w:val="232323"/>
                <w:sz w:val="17"/>
              </w:rPr>
              <w:t>Resting-state scalp EEG, eyes closed</w:t>
            </w:r>
          </w:p>
        </w:tc>
      </w:tr>
      <w:tr>
        <w:trPr>
          <w:cantSplit/>
        </w:trPr>
        <w:tc>
          <w:tcPr>
            <w:tcW w:type="dxa" w:w="2520"/>
            <w:vAlign w:val="center"/>
          </w:tcPr>
          <w:p>
            <w:pPr>
              <w:spacing w:after="0"/>
            </w:pPr>
            <w:r/>
            <w:r>
              <w:rPr>
                <w:rFonts w:ascii="Carlito" w:hAnsi="Carlito"/>
                <w:b w:val="0"/>
                <w:color w:val="232323"/>
                <w:sz w:val="17"/>
              </w:rPr>
              <w:t>Participants</w:t>
            </w:r>
          </w:p>
        </w:tc>
        <w:tc>
          <w:tcPr>
            <w:tcW w:type="dxa" w:w="7560"/>
            <w:vAlign w:val="center"/>
          </w:tcPr>
          <w:p>
            <w:pPr>
              <w:spacing w:after="0"/>
            </w:pPr>
            <w:r/>
            <w:r>
              <w:rPr>
                <w:rFonts w:ascii="Carlito" w:hAnsi="Carlito"/>
                <w:b w:val="0"/>
                <w:color w:val="232323"/>
                <w:sz w:val="17"/>
              </w:rPr>
              <w:t>88 total: 36 AD, 23 FTD, 29 CN</w:t>
            </w:r>
          </w:p>
        </w:tc>
      </w:tr>
      <w:tr>
        <w:trPr>
          <w:cantSplit/>
        </w:trPr>
        <w:tc>
          <w:tcPr>
            <w:tcW w:type="dxa" w:w="2520"/>
            <w:vAlign w:val="center"/>
            <w:shd w:fill="F4F6F8"/>
          </w:tcPr>
          <w:p>
            <w:pPr>
              <w:spacing w:after="0"/>
            </w:pPr>
            <w:r/>
            <w:r>
              <w:rPr>
                <w:rFonts w:ascii="Carlito" w:hAnsi="Carlito"/>
                <w:b w:val="0"/>
                <w:color w:val="232323"/>
                <w:sz w:val="17"/>
              </w:rPr>
              <w:t>Channels</w:t>
            </w:r>
          </w:p>
        </w:tc>
        <w:tc>
          <w:tcPr>
            <w:tcW w:type="dxa" w:w="7560"/>
            <w:vAlign w:val="center"/>
            <w:shd w:fill="F4F6F8"/>
          </w:tcPr>
          <w:p>
            <w:pPr>
              <w:spacing w:after="0"/>
            </w:pPr>
            <w:r/>
            <w:r>
              <w:rPr>
                <w:rFonts w:ascii="Carlito" w:hAnsi="Carlito"/>
                <w:b w:val="0"/>
                <w:color w:val="232323"/>
                <w:sz w:val="17"/>
              </w:rPr>
              <w:t>19 scalp channels in the international 10-20 system</w:t>
            </w:r>
          </w:p>
        </w:tc>
      </w:tr>
      <w:tr>
        <w:trPr>
          <w:cantSplit/>
        </w:trPr>
        <w:tc>
          <w:tcPr>
            <w:tcW w:type="dxa" w:w="2520"/>
            <w:vAlign w:val="center"/>
          </w:tcPr>
          <w:p>
            <w:pPr>
              <w:spacing w:after="0"/>
            </w:pPr>
            <w:r/>
            <w:r>
              <w:rPr>
                <w:rFonts w:ascii="Carlito" w:hAnsi="Carlito"/>
                <w:b w:val="0"/>
                <w:color w:val="232323"/>
                <w:sz w:val="17"/>
              </w:rPr>
              <w:t>Channel list</w:t>
            </w:r>
          </w:p>
        </w:tc>
        <w:tc>
          <w:tcPr>
            <w:tcW w:type="dxa" w:w="7560"/>
            <w:vAlign w:val="center"/>
          </w:tcPr>
          <w:p>
            <w:pPr>
              <w:spacing w:after="0"/>
            </w:pPr>
            <w:r/>
            <w:r>
              <w:rPr>
                <w:rFonts w:ascii="Carlito" w:hAnsi="Carlito"/>
                <w:b w:val="0"/>
                <w:color w:val="232323"/>
                <w:sz w:val="17"/>
              </w:rPr>
              <w:t>Fp1, Fp2, F7, F3, Fz, F4, F8, T3, C3, Cz, C4, T4, T5, P3, Pz, P4, T6, O1, O2</w:t>
            </w:r>
          </w:p>
        </w:tc>
      </w:tr>
      <w:tr>
        <w:trPr>
          <w:cantSplit/>
        </w:trPr>
        <w:tc>
          <w:tcPr>
            <w:tcW w:type="dxa" w:w="2520"/>
            <w:vAlign w:val="center"/>
            <w:shd w:fill="F4F6F8"/>
          </w:tcPr>
          <w:p>
            <w:pPr>
              <w:spacing w:after="0"/>
            </w:pPr>
            <w:r/>
            <w:r>
              <w:rPr>
                <w:rFonts w:ascii="Carlito" w:hAnsi="Carlito"/>
                <w:b w:val="0"/>
                <w:color w:val="232323"/>
                <w:sz w:val="17"/>
              </w:rPr>
              <w:t>Sampling rate</w:t>
            </w:r>
          </w:p>
        </w:tc>
        <w:tc>
          <w:tcPr>
            <w:tcW w:type="dxa" w:w="7560"/>
            <w:vAlign w:val="center"/>
            <w:shd w:fill="F4F6F8"/>
          </w:tcPr>
          <w:p>
            <w:pPr>
              <w:spacing w:after="0"/>
            </w:pPr>
            <w:r/>
            <w:r>
              <w:rPr>
                <w:rFonts w:ascii="Carlito" w:hAnsi="Carlito"/>
                <w:b w:val="0"/>
                <w:color w:val="232323"/>
                <w:sz w:val="17"/>
              </w:rPr>
              <w:t>500 Hz</w:t>
            </w:r>
          </w:p>
        </w:tc>
      </w:tr>
      <w:tr>
        <w:trPr>
          <w:cantSplit/>
        </w:trPr>
        <w:tc>
          <w:tcPr>
            <w:tcW w:type="dxa" w:w="2520"/>
            <w:vAlign w:val="center"/>
          </w:tcPr>
          <w:p>
            <w:pPr>
              <w:spacing w:after="0"/>
            </w:pPr>
            <w:r/>
            <w:r>
              <w:rPr>
                <w:rFonts w:ascii="Carlito" w:hAnsi="Carlito"/>
                <w:b w:val="0"/>
                <w:color w:val="232323"/>
                <w:sz w:val="17"/>
              </w:rPr>
              <w:t>Clinical metadata</w:t>
            </w:r>
          </w:p>
        </w:tc>
        <w:tc>
          <w:tcPr>
            <w:tcW w:type="dxa" w:w="7560"/>
            <w:vAlign w:val="center"/>
          </w:tcPr>
          <w:p>
            <w:pPr>
              <w:spacing w:after="0"/>
            </w:pPr>
            <w:r/>
            <w:r>
              <w:rPr>
                <w:rFonts w:ascii="Carlito" w:hAnsi="Carlito"/>
                <w:b w:val="0"/>
                <w:color w:val="232323"/>
                <w:sz w:val="17"/>
              </w:rPr>
              <w:t>Diagnosis, age, sex, MMSE; disease-duration metadata for patient groups where available</w:t>
            </w:r>
          </w:p>
        </w:tc>
      </w:tr>
      <w:tr>
        <w:trPr>
          <w:cantSplit/>
        </w:trPr>
        <w:tc>
          <w:tcPr>
            <w:tcW w:type="dxa" w:w="2520"/>
            <w:vAlign w:val="center"/>
            <w:shd w:fill="F4F6F8"/>
          </w:tcPr>
          <w:p>
            <w:pPr>
              <w:spacing w:after="0"/>
            </w:pPr>
            <w:r/>
            <w:r>
              <w:rPr>
                <w:rFonts w:ascii="Carlito" w:hAnsi="Carlito"/>
                <w:b w:val="0"/>
                <w:color w:val="232323"/>
                <w:sz w:val="17"/>
              </w:rPr>
              <w:t>License</w:t>
            </w:r>
          </w:p>
        </w:tc>
        <w:tc>
          <w:tcPr>
            <w:tcW w:type="dxa" w:w="7560"/>
            <w:vAlign w:val="center"/>
            <w:shd w:fill="F4F6F8"/>
          </w:tcPr>
          <w:p>
            <w:pPr>
              <w:spacing w:after="0"/>
            </w:pPr>
            <w:r/>
            <w:r>
              <w:rPr>
                <w:rFonts w:ascii="Carlito" w:hAnsi="Carlito"/>
                <w:b w:val="0"/>
                <w:color w:val="232323"/>
                <w:sz w:val="17"/>
              </w:rPr>
              <w:t>CC0</w:t>
            </w:r>
          </w:p>
        </w:tc>
      </w:tr>
      <w:tr>
        <w:trPr>
          <w:cantSplit/>
        </w:trPr>
        <w:tc>
          <w:tcPr>
            <w:tcW w:type="dxa" w:w="2520"/>
            <w:vAlign w:val="center"/>
          </w:tcPr>
          <w:p>
            <w:pPr>
              <w:spacing w:after="0"/>
            </w:pPr>
            <w:r/>
            <w:r>
              <w:rPr>
                <w:rFonts w:ascii="Carlito" w:hAnsi="Carlito"/>
                <w:b w:val="0"/>
                <w:color w:val="232323"/>
                <w:sz w:val="17"/>
              </w:rPr>
              <w:t>Primary analysis data</w:t>
            </w:r>
          </w:p>
        </w:tc>
        <w:tc>
          <w:tcPr>
            <w:tcW w:type="dxa" w:w="7560"/>
            <w:vAlign w:val="center"/>
          </w:tcPr>
          <w:p>
            <w:pPr>
              <w:spacing w:after="0"/>
            </w:pPr>
            <w:r/>
            <w:r>
              <w:rPr>
                <w:rFonts w:ascii="Carlito" w:hAnsi="Carlito"/>
                <w:b w:val="0"/>
                <w:color w:val="232323"/>
                <w:sz w:val="17"/>
              </w:rPr>
              <w:t>Provided artifact-cleaned derivative EEG</w:t>
            </w:r>
          </w:p>
        </w:tc>
      </w:tr>
      <w:tr>
        <w:trPr>
          <w:cantSplit/>
        </w:trPr>
        <w:tc>
          <w:tcPr>
            <w:tcW w:type="dxa" w:w="2520"/>
            <w:vAlign w:val="center"/>
            <w:shd w:fill="F4F6F8"/>
          </w:tcPr>
          <w:p>
            <w:pPr>
              <w:spacing w:after="0"/>
            </w:pPr>
            <w:r/>
            <w:r>
              <w:rPr>
                <w:rFonts w:ascii="Carlito" w:hAnsi="Carlito"/>
                <w:b w:val="0"/>
                <w:color w:val="232323"/>
                <w:sz w:val="17"/>
              </w:rPr>
              <w:t>Sensitivity analysis</w:t>
            </w:r>
          </w:p>
        </w:tc>
        <w:tc>
          <w:tcPr>
            <w:tcW w:type="dxa" w:w="7560"/>
            <w:vAlign w:val="center"/>
            <w:shd w:fill="F4F6F8"/>
          </w:tcPr>
          <w:p>
            <w:pPr>
              <w:spacing w:after="0"/>
            </w:pPr>
            <w:r/>
            <w:r>
              <w:rPr>
                <w:rFonts w:ascii="Carlito" w:hAnsi="Carlito"/>
                <w:b w:val="0"/>
                <w:color w:val="232323"/>
                <w:sz w:val="17"/>
              </w:rPr>
              <w:t>Raw EEG / alternative preprocessing if time allows</w:t>
            </w:r>
          </w:p>
        </w:tc>
      </w:tr>
    </w:tbl>
    <w:p>
      <w:pPr>
        <w:spacing w:after="0"/>
      </w:pPr>
    </w:p>
    <w:p>
      <w:pPr>
        <w:pStyle w:val="Heading2"/>
        <w:keepNext/>
      </w:pPr>
      <w:r>
        <w:t>5.1 Reported preprocessing in the DICE-Net work</w:t>
      </w:r>
    </w:p>
    <w:p>
      <w:pPr>
        <w:spacing w:after="110"/>
      </w:pPr>
      <w:r>
        <w:rPr>
          <w:rFonts w:ascii="Carlito" w:hAnsi="Carlito"/>
          <w:i w:val="0"/>
          <w:sz w:val="20"/>
        </w:rPr>
        <w:t>The DICE-Net paper describes a 0.5-45 Hz Butterworth band-pass filter, rereferencing to A1-A2, Artifact Subspace Reconstruction (ASR), ICA (RunICA), and ICLabel-based removal of eye/jaw artifact components [2]. For the first replication, use the distributed cleaned derivative rather than attempting to recreate the entire artifact-removal pipeline. Treat raw-data reprocessing as a later robustness experiment.</w:t>
      </w:r>
    </w:p>
    <w:p>
      <w:pPr>
        <w:pStyle w:val="Heading2"/>
        <w:keepNext/>
      </w:pPr>
      <w:r>
        <w:t>5.2 Metadata QC</w:t>
      </w:r>
    </w:p>
    <w:p>
      <w:pPr>
        <w:pStyle w:val="ListBullet"/>
        <w:spacing w:after="40"/>
      </w:pPr>
      <w:r>
        <w:rPr>
          <w:rFonts w:ascii="Carlito" w:hAnsi="Carlito"/>
          <w:sz w:val="20"/>
        </w:rPr>
        <w:t>Verify total n = 88 and group counts = 36/23/29.</w:t>
      </w:r>
    </w:p>
    <w:p>
      <w:pPr>
        <w:pStyle w:val="ListBullet"/>
        <w:spacing w:after="40"/>
      </w:pPr>
      <w:r>
        <w:rPr>
          <w:rFonts w:ascii="Carlito" w:hAnsi="Carlito"/>
          <w:sz w:val="20"/>
        </w:rPr>
        <w:t>Check missingness and coding in age, sex, diagnosis, MMSE, and disease duration.</w:t>
      </w:r>
    </w:p>
    <w:p>
      <w:pPr>
        <w:pStyle w:val="ListBullet"/>
        <w:spacing w:after="40"/>
      </w:pPr>
      <w:r>
        <w:rPr>
          <w:rFonts w:ascii="Carlito" w:hAnsi="Carlito"/>
          <w:sz w:val="20"/>
        </w:rPr>
        <w:t>Confirm no duplicated subject IDs.</w:t>
      </w:r>
    </w:p>
    <w:p>
      <w:pPr>
        <w:pStyle w:val="ListBullet"/>
        <w:spacing w:after="40"/>
      </w:pPr>
      <w:r>
        <w:rPr>
          <w:rFonts w:ascii="Carlito" w:hAnsi="Carlito"/>
          <w:sz w:val="20"/>
        </w:rPr>
        <w:t>Record exact dataset snapshot/DOI and file hashes if practical.</w:t>
      </w:r>
    </w:p>
    <w:p>
      <w:pPr>
        <w:pStyle w:val="ListBullet"/>
        <w:spacing w:after="40"/>
      </w:pPr>
      <w:r>
        <w:rPr>
          <w:rFonts w:ascii="Carlito" w:hAnsi="Carlito"/>
          <w:sz w:val="20"/>
        </w:rPr>
        <w:t>Never infer a clinical label from filenames if the BIDS metadata provides the label.</w:t>
      </w:r>
    </w:p>
    <w:p>
      <w:pPr>
        <w:pStyle w:val="Heading2"/>
        <w:keepNext/>
      </w:pPr>
      <w:r>
        <w:t>5.3 Dataset limitations to carry through the entire project</w:t>
      </w:r>
    </w:p>
    <w:p>
      <w:pPr>
        <w:pStyle w:val="ListBullet"/>
        <w:spacing w:after="40"/>
      </w:pPr>
      <w:r>
        <w:rPr>
          <w:rFonts w:ascii="Carlito" w:hAnsi="Carlito"/>
          <w:sz w:val="20"/>
        </w:rPr>
        <w:t>Cross-sectional dataset: it cannot establish prospective prediction of who will later develop dementia.</w:t>
      </w:r>
    </w:p>
    <w:p>
      <w:pPr>
        <w:pStyle w:val="ListBullet"/>
        <w:spacing w:after="40"/>
      </w:pPr>
      <w:r>
        <w:rPr>
          <w:rFonts w:ascii="Carlito" w:hAnsi="Carlito"/>
          <w:sz w:val="20"/>
        </w:rPr>
        <w:t>Single-center acquisition limits external generalization.</w:t>
      </w:r>
    </w:p>
    <w:p>
      <w:pPr>
        <w:pStyle w:val="ListBullet"/>
        <w:spacing w:after="40"/>
      </w:pPr>
      <w:r>
        <w:rPr>
          <w:rFonts w:ascii="Carlito" w:hAnsi="Carlito"/>
          <w:sz w:val="20"/>
        </w:rPr>
        <w:t>Small number of independent subjects for machine learning, regardless of how many windows are generated.</w:t>
      </w:r>
    </w:p>
    <w:p>
      <w:pPr>
        <w:pStyle w:val="ListBullet"/>
        <w:spacing w:after="40"/>
      </w:pPr>
      <w:r>
        <w:rPr>
          <w:rFonts w:ascii="Carlito" w:hAnsi="Carlito"/>
          <w:sz w:val="20"/>
        </w:rPr>
        <w:t>CN MMSE is at/near ceiling; all-subject MMSE correlations can be confounded by diagnosis.</w:t>
      </w:r>
    </w:p>
    <w:p>
      <w:pPr>
        <w:pStyle w:val="ListBullet"/>
        <w:spacing w:after="40"/>
      </w:pPr>
      <w:r>
        <w:rPr>
          <w:rFonts w:ascii="Carlito" w:hAnsi="Carlito"/>
          <w:sz w:val="20"/>
        </w:rPr>
        <w:t>Resting-state EEG is a macroscopic signal and cannot directly resolve microscopic synaptic mechanisms.</w:t>
      </w:r>
    </w:p>
    <w:p>
      <w:pPr>
        <w:pStyle w:val="Heading1"/>
        <w:keepNext/>
      </w:pPr>
      <w:r>
        <w:t>6. Study Design: Replication Track vs Critique Track</w:t>
      </w:r>
    </w:p>
    <w:p>
      <w:pPr>
        <w:jc w:val="center"/>
      </w:pPr>
      <w:r>
        <w:drawing>
          <wp:inline xmlns:a="http://schemas.openxmlformats.org/drawingml/2006/main" xmlns:pic="http://schemas.openxmlformats.org/drawingml/2006/picture">
            <wp:extent cx="6309360" cy="4343517"/>
            <wp:docPr id="1" name="Picture 1"/>
            <wp:cNvGraphicFramePr>
              <a:graphicFrameLocks noChangeAspect="1"/>
            </wp:cNvGraphicFramePr>
            <a:graphic>
              <a:graphicData uri="http://schemas.openxmlformats.org/drawingml/2006/picture">
                <pic:pic>
                  <pic:nvPicPr>
                    <pic:cNvPr id="0" name="eeg_project_workflow.png"/>
                    <pic:cNvPicPr/>
                  </pic:nvPicPr>
                  <pic:blipFill>
                    <a:blip r:embed="rId11"/>
                    <a:stretch>
                      <a:fillRect/>
                    </a:stretch>
                  </pic:blipFill>
                  <pic:spPr>
                    <a:xfrm>
                      <a:off x="0" y="0"/>
                      <a:ext cx="6309360" cy="4343517"/>
                    </a:xfrm>
                    <a:prstGeom prst="rect"/>
                  </pic:spPr>
                </pic:pic>
              </a:graphicData>
            </a:graphic>
          </wp:inline>
        </w:drawing>
      </w:r>
    </w:p>
    <w:p>
      <w:pPr>
        <w:jc w:val="center"/>
      </w:pPr>
      <w:r>
        <w:rPr>
          <w:rFonts w:ascii="Carlito" w:hAnsi="Carlito"/>
          <w:i/>
          <w:color w:val="5A5A5A"/>
          <w:sz w:val="17"/>
        </w:rPr>
        <w:t>Figure 1. Project workflow. Replicate first; critique second; optimize electrodes last.</w:t>
      </w:r>
    </w:p>
    <w:p>
      <w:pPr>
        <w:pStyle w:val="Heading2"/>
        <w:keepNext/>
      </w:pPr>
      <w:r>
        <w:t>6.1 Track A - strict replication</w:t>
      </w:r>
    </w:p>
    <w:p>
      <w:pPr>
        <w:spacing w:after="110"/>
      </w:pPr>
      <w:r>
        <w:rPr>
          <w:rFonts w:ascii="Carlito" w:hAnsi="Carlito"/>
          <w:i w:val="0"/>
          <w:sz w:val="20"/>
        </w:rPr>
        <w:t>Purpose: establish that the implementation can recreate the two feature families described by DICE-Net before any methodological changes are introduced. Track A should preserve the paper's core segmentation, band definitions, RBP calculation, SCC concept, and subject-level LOSO logic as closely as practical.</w:t>
      </w:r>
    </w:p>
    <w:tbl>
      <w:tblPr>
        <w:tblStyle w:val="TableGrid"/>
        <w:tblW w:type="auto" w:w="0"/>
        <w:jc w:val="center"/>
        <w:tblLook w:firstColumn="1" w:firstRow="1" w:lastColumn="0" w:lastRow="0" w:noHBand="0" w:noVBand="1" w:val="04A0"/>
      </w:tblPr>
      <w:tblGrid>
        <w:gridCol w:w="4997"/>
        <w:gridCol w:w="4997"/>
      </w:tblGrid>
      <w:tr>
        <w:trPr>
          <w:cantSplit/>
        </w:trPr>
        <w:tc>
          <w:tcPr>
            <w:tcW w:type="dxa" w:w="3312"/>
            <w:vAlign w:val="center"/>
            <w:shd w:fill="1B3A6B"/>
          </w:tcPr>
          <w:p>
            <w:pPr>
              <w:spacing w:after="0"/>
            </w:pPr>
            <w:r/>
            <w:r>
              <w:rPr>
                <w:rFonts w:ascii="Carlito" w:hAnsi="Carlito"/>
                <w:b/>
                <w:color w:val="FFFFFF"/>
                <w:sz w:val="18"/>
              </w:rPr>
              <w:t>Replication component</w:t>
            </w:r>
          </w:p>
        </w:tc>
        <w:tc>
          <w:tcPr>
            <w:tcW w:type="dxa" w:w="6768"/>
            <w:vAlign w:val="center"/>
            <w:shd w:fill="1B3A6B"/>
          </w:tcPr>
          <w:p>
            <w:pPr>
              <w:spacing w:after="0"/>
            </w:pPr>
            <w:r/>
            <w:r>
              <w:rPr>
                <w:rFonts w:ascii="Carlito" w:hAnsi="Carlito"/>
                <w:b/>
                <w:color w:val="FFFFFF"/>
                <w:sz w:val="18"/>
              </w:rPr>
              <w:t>Specification</w:t>
            </w:r>
          </w:p>
        </w:tc>
      </w:tr>
      <w:tr>
        <w:trPr>
          <w:cantSplit/>
        </w:trPr>
        <w:tc>
          <w:tcPr>
            <w:tcW w:type="dxa" w:w="3312"/>
            <w:vAlign w:val="center"/>
          </w:tcPr>
          <w:p>
            <w:pPr>
              <w:spacing w:after="0"/>
            </w:pPr>
            <w:r/>
            <w:r>
              <w:rPr>
                <w:rFonts w:ascii="Carlito" w:hAnsi="Carlito"/>
                <w:b w:val="0"/>
                <w:color w:val="232323"/>
                <w:sz w:val="17"/>
              </w:rPr>
              <w:t>Window</w:t>
            </w:r>
          </w:p>
        </w:tc>
        <w:tc>
          <w:tcPr>
            <w:tcW w:type="dxa" w:w="6768"/>
            <w:vAlign w:val="center"/>
          </w:tcPr>
          <w:p>
            <w:pPr>
              <w:spacing w:after="0"/>
            </w:pPr>
            <w:r/>
            <w:r>
              <w:rPr>
                <w:rFonts w:ascii="Carlito" w:hAnsi="Carlito"/>
                <w:b w:val="0"/>
                <w:color w:val="232323"/>
                <w:sz w:val="17"/>
              </w:rPr>
              <w:t>30 s</w:t>
            </w:r>
          </w:p>
        </w:tc>
      </w:tr>
      <w:tr>
        <w:trPr>
          <w:cantSplit/>
        </w:trPr>
        <w:tc>
          <w:tcPr>
            <w:tcW w:type="dxa" w:w="3312"/>
            <w:vAlign w:val="center"/>
            <w:shd w:fill="F4F6F8"/>
          </w:tcPr>
          <w:p>
            <w:pPr>
              <w:spacing w:after="0"/>
            </w:pPr>
            <w:r/>
            <w:r>
              <w:rPr>
                <w:rFonts w:ascii="Carlito" w:hAnsi="Carlito"/>
                <w:b w:val="0"/>
                <w:color w:val="232323"/>
                <w:sz w:val="17"/>
              </w:rPr>
              <w:t>Overlap</w:t>
            </w:r>
          </w:p>
        </w:tc>
        <w:tc>
          <w:tcPr>
            <w:tcW w:type="dxa" w:w="6768"/>
            <w:vAlign w:val="center"/>
            <w:shd w:fill="F4F6F8"/>
          </w:tcPr>
          <w:p>
            <w:pPr>
              <w:spacing w:after="0"/>
            </w:pPr>
            <w:r/>
            <w:r>
              <w:rPr>
                <w:rFonts w:ascii="Carlito" w:hAnsi="Carlito"/>
                <w:b w:val="0"/>
                <w:color w:val="232323"/>
                <w:sz w:val="17"/>
              </w:rPr>
              <w:t>15 s (50%)</w:t>
            </w:r>
          </w:p>
        </w:tc>
      </w:tr>
      <w:tr>
        <w:trPr>
          <w:cantSplit/>
        </w:trPr>
        <w:tc>
          <w:tcPr>
            <w:tcW w:type="dxa" w:w="3312"/>
            <w:vAlign w:val="center"/>
          </w:tcPr>
          <w:p>
            <w:pPr>
              <w:spacing w:after="0"/>
            </w:pPr>
            <w:r/>
            <w:r>
              <w:rPr>
                <w:rFonts w:ascii="Carlito" w:hAnsi="Carlito"/>
                <w:b w:val="0"/>
                <w:color w:val="232323"/>
                <w:sz w:val="17"/>
              </w:rPr>
              <w:t>Internal feature time axis</w:t>
            </w:r>
          </w:p>
        </w:tc>
        <w:tc>
          <w:tcPr>
            <w:tcW w:type="dxa" w:w="6768"/>
            <w:vAlign w:val="center"/>
          </w:tcPr>
          <w:p>
            <w:pPr>
              <w:spacing w:after="0"/>
            </w:pPr>
            <w:r/>
            <w:r>
              <w:rPr>
                <w:rFonts w:ascii="Carlito" w:hAnsi="Carlito"/>
                <w:b w:val="0"/>
                <w:color w:val="232323"/>
                <w:sz w:val="17"/>
              </w:rPr>
              <w:t>30 one-second periods</w:t>
            </w:r>
          </w:p>
        </w:tc>
      </w:tr>
      <w:tr>
        <w:trPr>
          <w:cantSplit/>
        </w:trPr>
        <w:tc>
          <w:tcPr>
            <w:tcW w:type="dxa" w:w="3312"/>
            <w:vAlign w:val="center"/>
            <w:shd w:fill="F4F6F8"/>
          </w:tcPr>
          <w:p>
            <w:pPr>
              <w:spacing w:after="0"/>
            </w:pPr>
            <w:r/>
            <w:r>
              <w:rPr>
                <w:rFonts w:ascii="Carlito" w:hAnsi="Carlito"/>
                <w:b w:val="0"/>
                <w:color w:val="232323"/>
                <w:sz w:val="17"/>
              </w:rPr>
              <w:t>Bands</w:t>
            </w:r>
          </w:p>
        </w:tc>
        <w:tc>
          <w:tcPr>
            <w:tcW w:type="dxa" w:w="6768"/>
            <w:vAlign w:val="center"/>
            <w:shd w:fill="F4F6F8"/>
          </w:tcPr>
          <w:p>
            <w:pPr>
              <w:spacing w:after="0"/>
            </w:pPr>
            <w:r/>
            <w:r>
              <w:rPr>
                <w:rFonts w:ascii="Carlito" w:hAnsi="Carlito"/>
                <w:b w:val="0"/>
                <w:color w:val="232323"/>
                <w:sz w:val="17"/>
              </w:rPr>
              <w:t>Delta 0.5-4; Theta 4-8; Alpha 8-13; Beta 13-25; Gamma 25-45 Hz</w:t>
            </w:r>
          </w:p>
        </w:tc>
      </w:tr>
      <w:tr>
        <w:trPr>
          <w:cantSplit/>
        </w:trPr>
        <w:tc>
          <w:tcPr>
            <w:tcW w:type="dxa" w:w="3312"/>
            <w:vAlign w:val="center"/>
          </w:tcPr>
          <w:p>
            <w:pPr>
              <w:spacing w:after="0"/>
            </w:pPr>
            <w:r/>
            <w:r>
              <w:rPr>
                <w:rFonts w:ascii="Carlito" w:hAnsi="Carlito"/>
                <w:b w:val="0"/>
                <w:color w:val="232323"/>
                <w:sz w:val="17"/>
              </w:rPr>
              <w:t>RBP</w:t>
            </w:r>
          </w:p>
        </w:tc>
        <w:tc>
          <w:tcPr>
            <w:tcW w:type="dxa" w:w="6768"/>
            <w:vAlign w:val="center"/>
          </w:tcPr>
          <w:p>
            <w:pPr>
              <w:spacing w:after="0"/>
            </w:pPr>
            <w:r/>
            <w:r>
              <w:rPr>
                <w:rFonts w:ascii="Carlito" w:hAnsi="Carlito"/>
                <w:b w:val="0"/>
                <w:color w:val="232323"/>
                <w:sz w:val="17"/>
              </w:rPr>
              <w:t>Welch PSD-derived relative band power per time x band x channel</w:t>
            </w:r>
          </w:p>
        </w:tc>
      </w:tr>
      <w:tr>
        <w:trPr>
          <w:cantSplit/>
        </w:trPr>
        <w:tc>
          <w:tcPr>
            <w:tcW w:type="dxa" w:w="3312"/>
            <w:vAlign w:val="center"/>
            <w:shd w:fill="F4F6F8"/>
          </w:tcPr>
          <w:p>
            <w:pPr>
              <w:spacing w:after="0"/>
            </w:pPr>
            <w:r/>
            <w:r>
              <w:rPr>
                <w:rFonts w:ascii="Carlito" w:hAnsi="Carlito"/>
                <w:b w:val="0"/>
                <w:color w:val="232323"/>
                <w:sz w:val="17"/>
              </w:rPr>
              <w:t>SCC</w:t>
            </w:r>
          </w:p>
        </w:tc>
        <w:tc>
          <w:tcPr>
            <w:tcW w:type="dxa" w:w="6768"/>
            <w:vAlign w:val="center"/>
            <w:shd w:fill="F4F6F8"/>
          </w:tcPr>
          <w:p>
            <w:pPr>
              <w:spacing w:after="0"/>
            </w:pPr>
            <w:r/>
            <w:r>
              <w:rPr>
                <w:rFonts w:ascii="Carlito" w:hAnsi="Carlito"/>
                <w:b w:val="0"/>
                <w:color w:val="232323"/>
                <w:sz w:val="17"/>
              </w:rPr>
              <w:t>Spectral coherence connectivity per time x band x channel; compute full pairwise representation and channel-averaged representation</w:t>
            </w:r>
          </w:p>
        </w:tc>
      </w:tr>
      <w:tr>
        <w:trPr>
          <w:cantSplit/>
        </w:trPr>
        <w:tc>
          <w:tcPr>
            <w:tcW w:type="dxa" w:w="3312"/>
            <w:vAlign w:val="center"/>
          </w:tcPr>
          <w:p>
            <w:pPr>
              <w:spacing w:after="0"/>
            </w:pPr>
            <w:r/>
            <w:r>
              <w:rPr>
                <w:rFonts w:ascii="Carlito" w:hAnsi="Carlito"/>
                <w:b w:val="0"/>
                <w:color w:val="232323"/>
                <w:sz w:val="17"/>
              </w:rPr>
              <w:t>Primary validation</w:t>
            </w:r>
          </w:p>
        </w:tc>
        <w:tc>
          <w:tcPr>
            <w:tcW w:type="dxa" w:w="6768"/>
            <w:vAlign w:val="center"/>
          </w:tcPr>
          <w:p>
            <w:pPr>
              <w:spacing w:after="0"/>
            </w:pPr>
            <w:r/>
            <w:r>
              <w:rPr>
                <w:rFonts w:ascii="Carlito" w:hAnsi="Carlito"/>
                <w:b w:val="0"/>
                <w:color w:val="232323"/>
                <w:sz w:val="17"/>
              </w:rPr>
              <w:t>Subject-wise LOSO for direct comparison</w:t>
            </w:r>
          </w:p>
        </w:tc>
      </w:tr>
      <w:tr>
        <w:trPr>
          <w:cantSplit/>
        </w:trPr>
        <w:tc>
          <w:tcPr>
            <w:tcW w:type="dxa" w:w="3312"/>
            <w:vAlign w:val="center"/>
            <w:shd w:fill="F4F6F8"/>
          </w:tcPr>
          <w:p>
            <w:pPr>
              <w:spacing w:after="0"/>
            </w:pPr>
            <w:r/>
            <w:r>
              <w:rPr>
                <w:rFonts w:ascii="Carlito" w:hAnsi="Carlito"/>
                <w:b w:val="0"/>
                <w:color w:val="232323"/>
                <w:sz w:val="17"/>
              </w:rPr>
              <w:t>Primary task</w:t>
            </w:r>
          </w:p>
        </w:tc>
        <w:tc>
          <w:tcPr>
            <w:tcW w:type="dxa" w:w="6768"/>
            <w:vAlign w:val="center"/>
            <w:shd w:fill="F4F6F8"/>
          </w:tcPr>
          <w:p>
            <w:pPr>
              <w:spacing w:after="0"/>
            </w:pPr>
            <w:r/>
            <w:r>
              <w:rPr>
                <w:rFonts w:ascii="Carlito" w:hAnsi="Carlito"/>
                <w:b w:val="0"/>
                <w:color w:val="232323"/>
                <w:sz w:val="17"/>
              </w:rPr>
              <w:t>AD vs CN</w:t>
            </w:r>
          </w:p>
        </w:tc>
      </w:tr>
    </w:tbl>
    <w:p>
      <w:pPr>
        <w:spacing w:after="0"/>
      </w:pPr>
    </w:p>
    <w:p>
      <w:pPr>
        <w:pStyle w:val="Heading2"/>
        <w:keepNext/>
      </w:pPr>
      <w:r>
        <w:t>6.2 Track B - critique</w:t>
      </w:r>
    </w:p>
    <w:p>
      <w:pPr>
        <w:spacing w:after="110"/>
      </w:pPr>
      <w:r>
        <w:rPr>
          <w:rFonts w:ascii="Carlito" w:hAnsi="Carlito"/>
          <w:i w:val="0"/>
          <w:sz w:val="20"/>
        </w:rPr>
        <w:t>Purpose: change one methodological assumption at a time while holding the rest of the pipeline fixed. The critique should use paired comparisons wherever possible: the same subjects, same outer folds, same classifier, and same performance metrics. This makes differences attributable to the biomarker definition rather than to a different modeling stack.</w:t>
      </w:r>
    </w:p>
    <w:tbl>
      <w:tblPr>
        <w:tblStyle w:val="TableGrid"/>
        <w:tblW w:type="auto" w:w="0"/>
        <w:jc w:val="center"/>
        <w:tblLook w:firstColumn="1" w:firstRow="1" w:lastColumn="0" w:lastRow="0" w:noHBand="0" w:noVBand="1" w:val="04A0"/>
      </w:tblPr>
      <w:tblGrid>
        <w:gridCol w:w="4997"/>
        <w:gridCol w:w="4997"/>
      </w:tblGrid>
      <w:tr>
        <w:trPr>
          <w:cantSplit/>
        </w:trPr>
        <w:tc>
          <w:tcPr>
            <w:tcW w:type="dxa" w:w="4608"/>
            <w:vAlign w:val="center"/>
            <w:shd w:fill="1B3A6B"/>
          </w:tcPr>
          <w:p>
            <w:pPr>
              <w:spacing w:after="0"/>
            </w:pPr>
            <w:r/>
            <w:r>
              <w:rPr>
                <w:rFonts w:ascii="Carlito" w:hAnsi="Carlito"/>
                <w:b/>
                <w:color w:val="FFFFFF"/>
                <w:sz w:val="18"/>
              </w:rPr>
              <w:t>Baseline assumption</w:t>
            </w:r>
          </w:p>
        </w:tc>
        <w:tc>
          <w:tcPr>
            <w:tcW w:type="dxa" w:w="5472"/>
            <w:vAlign w:val="center"/>
            <w:shd w:fill="1B3A6B"/>
          </w:tcPr>
          <w:p>
            <w:pPr>
              <w:spacing w:after="0"/>
            </w:pPr>
            <w:r/>
            <w:r>
              <w:rPr>
                <w:rFonts w:ascii="Carlito" w:hAnsi="Carlito"/>
                <w:b/>
                <w:color w:val="FFFFFF"/>
                <w:sz w:val="18"/>
              </w:rPr>
              <w:t>Challenge</w:t>
            </w:r>
          </w:p>
        </w:tc>
      </w:tr>
      <w:tr>
        <w:trPr>
          <w:cantSplit/>
        </w:trPr>
        <w:tc>
          <w:tcPr>
            <w:tcW w:type="dxa" w:w="4608"/>
            <w:vAlign w:val="center"/>
          </w:tcPr>
          <w:p>
            <w:pPr>
              <w:spacing w:after="0"/>
            </w:pPr>
            <w:r/>
            <w:r>
              <w:rPr>
                <w:rFonts w:ascii="Carlito" w:hAnsi="Carlito"/>
                <w:b w:val="0"/>
                <w:color w:val="232323"/>
                <w:sz w:val="17"/>
              </w:rPr>
              <w:t>Fixed frequency bands</w:t>
            </w:r>
          </w:p>
        </w:tc>
        <w:tc>
          <w:tcPr>
            <w:tcW w:type="dxa" w:w="5472"/>
            <w:vAlign w:val="center"/>
          </w:tcPr>
          <w:p>
            <w:pPr>
              <w:spacing w:after="0"/>
            </w:pPr>
            <w:r/>
            <w:r>
              <w:rPr>
                <w:rFonts w:ascii="Carlito" w:hAnsi="Carlito"/>
                <w:b w:val="0"/>
                <w:color w:val="232323"/>
                <w:sz w:val="17"/>
              </w:rPr>
              <w:t>Individual alpha frequency and individualized bands</w:t>
            </w:r>
          </w:p>
        </w:tc>
      </w:tr>
      <w:tr>
        <w:trPr>
          <w:cantSplit/>
        </w:trPr>
        <w:tc>
          <w:tcPr>
            <w:tcW w:type="dxa" w:w="4608"/>
            <w:vAlign w:val="center"/>
            <w:shd w:fill="F4F6F8"/>
          </w:tcPr>
          <w:p>
            <w:pPr>
              <w:spacing w:after="0"/>
            </w:pPr>
            <w:r/>
            <w:r>
              <w:rPr>
                <w:rFonts w:ascii="Carlito" w:hAnsi="Carlito"/>
                <w:b w:val="0"/>
                <w:color w:val="232323"/>
                <w:sz w:val="17"/>
              </w:rPr>
              <w:t>Relative power</w:t>
            </w:r>
          </w:p>
        </w:tc>
        <w:tc>
          <w:tcPr>
            <w:tcW w:type="dxa" w:w="5472"/>
            <w:vAlign w:val="center"/>
            <w:shd w:fill="F4F6F8"/>
          </w:tcPr>
          <w:p>
            <w:pPr>
              <w:spacing w:after="0"/>
            </w:pPr>
            <w:r/>
            <w:r>
              <w:rPr>
                <w:rFonts w:ascii="Carlito" w:hAnsi="Carlito"/>
                <w:b w:val="0"/>
                <w:color w:val="232323"/>
                <w:sz w:val="17"/>
              </w:rPr>
              <w:t>Absolute/log power and aperiodic-adjusted periodic power</w:t>
            </w:r>
          </w:p>
        </w:tc>
      </w:tr>
      <w:tr>
        <w:trPr>
          <w:cantSplit/>
        </w:trPr>
        <w:tc>
          <w:tcPr>
            <w:tcW w:type="dxa" w:w="4608"/>
            <w:vAlign w:val="center"/>
          </w:tcPr>
          <w:p>
            <w:pPr>
              <w:spacing w:after="0"/>
            </w:pPr>
            <w:r/>
            <w:r>
              <w:rPr>
                <w:rFonts w:ascii="Carlito" w:hAnsi="Carlito"/>
                <w:b w:val="0"/>
                <w:color w:val="232323"/>
                <w:sz w:val="17"/>
              </w:rPr>
              <w:t>Canonical narrowband power</w:t>
            </w:r>
          </w:p>
        </w:tc>
        <w:tc>
          <w:tcPr>
            <w:tcW w:type="dxa" w:w="5472"/>
            <w:vAlign w:val="center"/>
          </w:tcPr>
          <w:p>
            <w:pPr>
              <w:spacing w:after="0"/>
            </w:pPr>
            <w:r/>
            <w:r>
              <w:rPr>
                <w:rFonts w:ascii="Carlito" w:hAnsi="Carlito"/>
                <w:b w:val="0"/>
                <w:color w:val="232323"/>
                <w:sz w:val="17"/>
              </w:rPr>
              <w:t>Periodic/aperiodic parameterization</w:t>
            </w:r>
          </w:p>
        </w:tc>
      </w:tr>
      <w:tr>
        <w:trPr>
          <w:cantSplit/>
        </w:trPr>
        <w:tc>
          <w:tcPr>
            <w:tcW w:type="dxa" w:w="4608"/>
            <w:vAlign w:val="center"/>
            <w:shd w:fill="F4F6F8"/>
          </w:tcPr>
          <w:p>
            <w:pPr>
              <w:spacing w:after="0"/>
            </w:pPr>
            <w:r/>
            <w:r>
              <w:rPr>
                <w:rFonts w:ascii="Carlito" w:hAnsi="Carlito"/>
                <w:b w:val="0"/>
                <w:color w:val="232323"/>
                <w:sz w:val="17"/>
              </w:rPr>
              <w:t>Magnitude coherence / SCC</w:t>
            </w:r>
          </w:p>
        </w:tc>
        <w:tc>
          <w:tcPr>
            <w:tcW w:type="dxa" w:w="5472"/>
            <w:vAlign w:val="center"/>
            <w:shd w:fill="F4F6F8"/>
          </w:tcPr>
          <w:p>
            <w:pPr>
              <w:spacing w:after="0"/>
            </w:pPr>
            <w:r/>
            <w:r>
              <w:rPr>
                <w:rFonts w:ascii="Carlito" w:hAnsi="Carlito"/>
                <w:b w:val="0"/>
                <w:color w:val="232323"/>
                <w:sz w:val="17"/>
              </w:rPr>
              <w:t>wPLI, debiased wPLI, imaginary coherence</w:t>
            </w:r>
          </w:p>
        </w:tc>
      </w:tr>
      <w:tr>
        <w:trPr>
          <w:cantSplit/>
        </w:trPr>
        <w:tc>
          <w:tcPr>
            <w:tcW w:type="dxa" w:w="4608"/>
            <w:vAlign w:val="center"/>
          </w:tcPr>
          <w:p>
            <w:pPr>
              <w:spacing w:after="0"/>
            </w:pPr>
            <w:r/>
            <w:r>
              <w:rPr>
                <w:rFonts w:ascii="Carlito" w:hAnsi="Carlito"/>
                <w:b w:val="0"/>
                <w:color w:val="232323"/>
                <w:sz w:val="17"/>
              </w:rPr>
              <w:t>Single reference</w:t>
            </w:r>
          </w:p>
        </w:tc>
        <w:tc>
          <w:tcPr>
            <w:tcW w:type="dxa" w:w="5472"/>
            <w:vAlign w:val="center"/>
          </w:tcPr>
          <w:p>
            <w:pPr>
              <w:spacing w:after="0"/>
            </w:pPr>
            <w:r/>
            <w:r>
              <w:rPr>
                <w:rFonts w:ascii="Carlito" w:hAnsi="Carlito"/>
                <w:b w:val="0"/>
                <w:color w:val="232323"/>
                <w:sz w:val="17"/>
              </w:rPr>
              <w:t>Reference sensitivity analysis</w:t>
            </w:r>
          </w:p>
        </w:tc>
      </w:tr>
      <w:tr>
        <w:trPr>
          <w:cantSplit/>
        </w:trPr>
        <w:tc>
          <w:tcPr>
            <w:tcW w:type="dxa" w:w="4608"/>
            <w:vAlign w:val="center"/>
            <w:shd w:fill="F4F6F8"/>
          </w:tcPr>
          <w:p>
            <w:pPr>
              <w:spacing w:after="0"/>
            </w:pPr>
            <w:r/>
            <w:r>
              <w:rPr>
                <w:rFonts w:ascii="Carlito" w:hAnsi="Carlito"/>
                <w:b w:val="0"/>
                <w:color w:val="232323"/>
                <w:sz w:val="17"/>
              </w:rPr>
              <w:t>AD vs CN only</w:t>
            </w:r>
          </w:p>
        </w:tc>
        <w:tc>
          <w:tcPr>
            <w:tcW w:type="dxa" w:w="5472"/>
            <w:vAlign w:val="center"/>
            <w:shd w:fill="F4F6F8"/>
          </w:tcPr>
          <w:p>
            <w:pPr>
              <w:spacing w:after="0"/>
            </w:pPr>
            <w:r/>
            <w:r>
              <w:rPr>
                <w:rFonts w:ascii="Carlito" w:hAnsi="Carlito"/>
                <w:b w:val="0"/>
                <w:color w:val="232323"/>
                <w:sz w:val="17"/>
              </w:rPr>
              <w:t>FTD vs CN and AD vs FTD</w:t>
            </w:r>
          </w:p>
        </w:tc>
      </w:tr>
      <w:tr>
        <w:trPr>
          <w:cantSplit/>
        </w:trPr>
        <w:tc>
          <w:tcPr>
            <w:tcW w:type="dxa" w:w="4608"/>
            <w:vAlign w:val="center"/>
          </w:tcPr>
          <w:p>
            <w:pPr>
              <w:spacing w:after="0"/>
            </w:pPr>
            <w:r/>
            <w:r>
              <w:rPr>
                <w:rFonts w:ascii="Carlito" w:hAnsi="Carlito"/>
                <w:b w:val="0"/>
                <w:color w:val="232323"/>
                <w:sz w:val="17"/>
              </w:rPr>
              <w:t>Window-centric evaluation</w:t>
            </w:r>
          </w:p>
        </w:tc>
        <w:tc>
          <w:tcPr>
            <w:tcW w:type="dxa" w:w="5472"/>
            <w:vAlign w:val="center"/>
          </w:tcPr>
          <w:p>
            <w:pPr>
              <w:spacing w:after="0"/>
            </w:pPr>
            <w:r/>
            <w:r>
              <w:rPr>
                <w:rFonts w:ascii="Carlito" w:hAnsi="Carlito"/>
                <w:b w:val="0"/>
                <w:color w:val="232323"/>
                <w:sz w:val="17"/>
              </w:rPr>
              <w:t>Subject-level aggregation and equal subject weighting</w:t>
            </w:r>
          </w:p>
        </w:tc>
      </w:tr>
    </w:tbl>
    <w:p>
      <w:pPr>
        <w:spacing w:after="0"/>
      </w:pPr>
    </w:p>
    <w:p>
      <w:pPr>
        <w:pStyle w:val="Heading1"/>
        <w:keepNext/>
      </w:pPr>
      <w:r>
        <w:t>7. Software Environment and Repository Architecture</w:t>
      </w:r>
    </w:p>
    <w:p>
      <w:pPr>
        <w:pStyle w:val="Heading2"/>
        <w:keepNext/>
      </w:pPr>
      <w:r>
        <w:t>7.1 Recommended environment</w:t>
      </w:r>
    </w:p>
    <w:p>
      <w:pPr>
        <w:pStyle w:val="CodeBlock"/>
        <w:shd w:fill="F3F4F6"/>
      </w:pPr>
      <w:r>
        <w:rPr>
          <w:rFonts w:ascii="DejaVu Sans Mono" w:hAnsi="DejaVu Sans Mono"/>
          <w:sz w:val="17"/>
        </w:rPr>
        <w:t>conda create -n eeg_biomarkers python=3.11</w:t>
      </w:r>
      <w:r>
        <w:br/>
      </w:r>
      <w:r>
        <w:rPr>
          <w:rFonts w:ascii="DejaVu Sans Mono" w:hAnsi="DejaVu Sans Mono"/>
          <w:sz w:val="17"/>
        </w:rPr>
        <w:t>conda activate eeg_biomarkers</w:t>
      </w:r>
      <w:r>
        <w:br/>
      </w:r>
      <w:r>
        <w:rPr>
          <w:rFonts w:ascii="DejaVu Sans Mono" w:hAnsi="DejaVu Sans Mono"/>
          <w:sz w:val="17"/>
        </w:rPr>
      </w:r>
      <w:r>
        <w:br/>
      </w:r>
      <w:r>
        <w:rPr>
          <w:rFonts w:ascii="DejaVu Sans Mono" w:hAnsi="DejaVu Sans Mono"/>
          <w:sz w:val="17"/>
        </w:rPr>
        <w:t>pip install mne mne-connectivity numpy scipy pandas scikit-learn     statsmodels specparam antropy matplotlib xgboost jupyterlab     pyyaml joblib pyarrow</w:t>
      </w:r>
    </w:p>
    <w:p>
      <w:pPr>
        <w:pStyle w:val="Heading2"/>
        <w:keepNext/>
      </w:pPr>
      <w:r>
        <w:t>7.2 Repository structure</w:t>
      </w:r>
    </w:p>
    <w:p>
      <w:pPr>
        <w:pStyle w:val="CodeBlock"/>
        <w:shd w:fill="F3F4F6"/>
      </w:pPr>
      <w:r>
        <w:rPr>
          <w:rFonts w:ascii="DejaVu Sans Mono" w:hAnsi="DejaVu Sans Mono"/>
          <w:sz w:val="17"/>
        </w:rPr>
        <w:t>eeg-biomarker-critique/</w:t>
      </w:r>
      <w:r>
        <w:br/>
      </w:r>
      <w:r>
        <w:rPr>
          <w:rFonts w:ascii="DejaVu Sans Mono" w:hAnsi="DejaVu Sans Mono"/>
          <w:sz w:val="17"/>
        </w:rPr>
        <w:t>|-- README.md</w:t>
      </w:r>
      <w:r>
        <w:br/>
      </w:r>
      <w:r>
        <w:rPr>
          <w:rFonts w:ascii="DejaVu Sans Mono" w:hAnsi="DejaVu Sans Mono"/>
          <w:sz w:val="17"/>
        </w:rPr>
        <w:t>|-- requirements.txt</w:t>
      </w:r>
      <w:r>
        <w:br/>
      </w:r>
      <w:r>
        <w:rPr>
          <w:rFonts w:ascii="DejaVu Sans Mono" w:hAnsi="DejaVu Sans Mono"/>
          <w:sz w:val="17"/>
        </w:rPr>
        <w:t>|-- environment.yml</w:t>
      </w:r>
      <w:r>
        <w:br/>
      </w:r>
      <w:r>
        <w:rPr>
          <w:rFonts w:ascii="DejaVu Sans Mono" w:hAnsi="DejaVu Sans Mono"/>
          <w:sz w:val="17"/>
        </w:rPr>
        <w:t>|-- config.yaml</w:t>
      </w:r>
      <w:r>
        <w:br/>
      </w:r>
      <w:r>
        <w:rPr>
          <w:rFonts w:ascii="DejaVu Sans Mono" w:hAnsi="DejaVu Sans Mono"/>
          <w:sz w:val="17"/>
        </w:rPr>
        <w:t>|-- docs/</w:t>
      </w:r>
      <w:r>
        <w:br/>
      </w:r>
      <w:r>
        <w:rPr>
          <w:rFonts w:ascii="DejaVu Sans Mono" w:hAnsi="DejaVu Sans Mono"/>
          <w:sz w:val="17"/>
        </w:rPr>
        <w:t>|   |-- research_questions.md</w:t>
      </w:r>
      <w:r>
        <w:br/>
      </w:r>
      <w:r>
        <w:rPr>
          <w:rFonts w:ascii="DejaVu Sans Mono" w:hAnsi="DejaVu Sans Mono"/>
          <w:sz w:val="17"/>
        </w:rPr>
        <w:t>|   |-- analysis_plan.md</w:t>
      </w:r>
      <w:r>
        <w:br/>
      </w:r>
      <w:r>
        <w:rPr>
          <w:rFonts w:ascii="DejaVu Sans Mono" w:hAnsi="DejaVu Sans Mono"/>
          <w:sz w:val="17"/>
        </w:rPr>
        <w:t>|   `-- decision_log.md</w:t>
      </w:r>
      <w:r>
        <w:br/>
      </w:r>
      <w:r>
        <w:rPr>
          <w:rFonts w:ascii="DejaVu Sans Mono" w:hAnsi="DejaVu Sans Mono"/>
          <w:sz w:val="17"/>
        </w:rPr>
        <w:t>|-- data/</w:t>
      </w:r>
      <w:r>
        <w:br/>
      </w:r>
      <w:r>
        <w:rPr>
          <w:rFonts w:ascii="DejaVu Sans Mono" w:hAnsi="DejaVu Sans Mono"/>
          <w:sz w:val="17"/>
        </w:rPr>
        <w:t>|   |-- README.md</w:t>
      </w:r>
      <w:r>
        <w:br/>
      </w:r>
      <w:r>
        <w:rPr>
          <w:rFonts w:ascii="DejaVu Sans Mono" w:hAnsi="DejaVu Sans Mono"/>
          <w:sz w:val="17"/>
        </w:rPr>
        <w:t>|   `-- processed/                 # generated; raw dataset not committed</w:t>
      </w:r>
      <w:r>
        <w:br/>
      </w:r>
      <w:r>
        <w:rPr>
          <w:rFonts w:ascii="DejaVu Sans Mono" w:hAnsi="DejaVu Sans Mono"/>
          <w:sz w:val="17"/>
        </w:rPr>
        <w:t>|-- src/</w:t>
      </w:r>
      <w:r>
        <w:br/>
      </w:r>
      <w:r>
        <w:rPr>
          <w:rFonts w:ascii="DejaVu Sans Mono" w:hAnsi="DejaVu Sans Mono"/>
          <w:sz w:val="17"/>
        </w:rPr>
        <w:t>|   |-- data/</w:t>
      </w:r>
      <w:r>
        <w:br/>
      </w:r>
      <w:r>
        <w:rPr>
          <w:rFonts w:ascii="DejaVu Sans Mono" w:hAnsi="DejaVu Sans Mono"/>
          <w:sz w:val="17"/>
        </w:rPr>
        <w:t>|   |   |-- load_eeg.py</w:t>
      </w:r>
      <w:r>
        <w:br/>
      </w:r>
      <w:r>
        <w:rPr>
          <w:rFonts w:ascii="DejaVu Sans Mono" w:hAnsi="DejaVu Sans Mono"/>
          <w:sz w:val="17"/>
        </w:rPr>
        <w:t>|   |   |-- metadata.py</w:t>
      </w:r>
      <w:r>
        <w:br/>
      </w:r>
      <w:r>
        <w:rPr>
          <w:rFonts w:ascii="DejaVu Sans Mono" w:hAnsi="DejaVu Sans Mono"/>
          <w:sz w:val="17"/>
        </w:rPr>
        <w:t>|   |   `-- qc.py</w:t>
      </w:r>
      <w:r>
        <w:br/>
      </w:r>
      <w:r>
        <w:rPr>
          <w:rFonts w:ascii="DejaVu Sans Mono" w:hAnsi="DejaVu Sans Mono"/>
          <w:sz w:val="17"/>
        </w:rPr>
        <w:t>|   |-- preprocessing/</w:t>
      </w:r>
      <w:r>
        <w:br/>
      </w:r>
      <w:r>
        <w:rPr>
          <w:rFonts w:ascii="DejaVu Sans Mono" w:hAnsi="DejaVu Sans Mono"/>
          <w:sz w:val="17"/>
        </w:rPr>
        <w:t>|   |   |-- epoch.py</w:t>
      </w:r>
      <w:r>
        <w:br/>
      </w:r>
      <w:r>
        <w:rPr>
          <w:rFonts w:ascii="DejaVu Sans Mono" w:hAnsi="DejaVu Sans Mono"/>
          <w:sz w:val="17"/>
        </w:rPr>
        <w:t>|   |   `-- reference.py</w:t>
      </w:r>
      <w:r>
        <w:br/>
      </w:r>
      <w:r>
        <w:rPr>
          <w:rFonts w:ascii="DejaVu Sans Mono" w:hAnsi="DejaVu Sans Mono"/>
          <w:sz w:val="17"/>
        </w:rPr>
        <w:t>|   |-- features/</w:t>
      </w:r>
      <w:r>
        <w:br/>
      </w:r>
      <w:r>
        <w:rPr>
          <w:rFonts w:ascii="DejaVu Sans Mono" w:hAnsi="DejaVu Sans Mono"/>
          <w:sz w:val="17"/>
        </w:rPr>
        <w:t>|   |   |-- rbp.py</w:t>
      </w:r>
      <w:r>
        <w:br/>
      </w:r>
      <w:r>
        <w:rPr>
          <w:rFonts w:ascii="DejaVu Sans Mono" w:hAnsi="DejaVu Sans Mono"/>
          <w:sz w:val="17"/>
        </w:rPr>
        <w:t>|   |   |-- absolute_power.py</w:t>
      </w:r>
      <w:r>
        <w:br/>
      </w:r>
      <w:r>
        <w:rPr>
          <w:rFonts w:ascii="DejaVu Sans Mono" w:hAnsi="DejaVu Sans Mono"/>
          <w:sz w:val="17"/>
        </w:rPr>
        <w:t>|   |   |-- iaf.py</w:t>
      </w:r>
      <w:r>
        <w:br/>
      </w:r>
      <w:r>
        <w:rPr>
          <w:rFonts w:ascii="DejaVu Sans Mono" w:hAnsi="DejaVu Sans Mono"/>
          <w:sz w:val="17"/>
        </w:rPr>
        <w:t>|   |   |-- aperiodic.py</w:t>
      </w:r>
      <w:r>
        <w:br/>
      </w:r>
      <w:r>
        <w:rPr>
          <w:rFonts w:ascii="DejaVu Sans Mono" w:hAnsi="DejaVu Sans Mono"/>
          <w:sz w:val="17"/>
        </w:rPr>
        <w:t>|   |   |-- coherence.py</w:t>
      </w:r>
      <w:r>
        <w:br/>
      </w:r>
      <w:r>
        <w:rPr>
          <w:rFonts w:ascii="DejaVu Sans Mono" w:hAnsi="DejaVu Sans Mono"/>
          <w:sz w:val="17"/>
        </w:rPr>
        <w:t>|   |   |-- wpli.py</w:t>
      </w:r>
      <w:r>
        <w:br/>
      </w:r>
      <w:r>
        <w:rPr>
          <w:rFonts w:ascii="DejaVu Sans Mono" w:hAnsi="DejaVu Sans Mono"/>
          <w:sz w:val="17"/>
        </w:rPr>
        <w:t>|   |   `-- imaginary_coherence.py</w:t>
      </w:r>
      <w:r>
        <w:br/>
      </w:r>
      <w:r>
        <w:rPr>
          <w:rFonts w:ascii="DejaVu Sans Mono" w:hAnsi="DejaVu Sans Mono"/>
          <w:sz w:val="17"/>
        </w:rPr>
        <w:t>|   |-- statistics/</w:t>
      </w:r>
      <w:r>
        <w:br/>
      </w:r>
      <w:r>
        <w:rPr>
          <w:rFonts w:ascii="DejaVu Sans Mono" w:hAnsi="DejaVu Sans Mono"/>
          <w:sz w:val="17"/>
        </w:rPr>
        <w:t>|   |   |-- group_analysis.py</w:t>
      </w:r>
      <w:r>
        <w:br/>
      </w:r>
      <w:r>
        <w:rPr>
          <w:rFonts w:ascii="DejaVu Sans Mono" w:hAnsi="DejaVu Sans Mono"/>
          <w:sz w:val="17"/>
        </w:rPr>
        <w:t>|   |   `-- correction.py</w:t>
      </w:r>
      <w:r>
        <w:br/>
      </w:r>
      <w:r>
        <w:rPr>
          <w:rFonts w:ascii="DejaVu Sans Mono" w:hAnsi="DejaVu Sans Mono"/>
          <w:sz w:val="17"/>
        </w:rPr>
        <w:t>|   |-- models/</w:t>
      </w:r>
      <w:r>
        <w:br/>
      </w:r>
      <w:r>
        <w:rPr>
          <w:rFonts w:ascii="DejaVu Sans Mono" w:hAnsi="DejaVu Sans Mono"/>
          <w:sz w:val="17"/>
        </w:rPr>
        <w:t>|   |   |-- classification.py</w:t>
      </w:r>
      <w:r>
        <w:br/>
      </w:r>
      <w:r>
        <w:rPr>
          <w:rFonts w:ascii="DejaVu Sans Mono" w:hAnsi="DejaVu Sans Mono"/>
          <w:sz w:val="17"/>
        </w:rPr>
        <w:t>|   |   |-- validation.py</w:t>
      </w:r>
      <w:r>
        <w:br/>
      </w:r>
      <w:r>
        <w:rPr>
          <w:rFonts w:ascii="DejaVu Sans Mono" w:hAnsi="DejaVu Sans Mono"/>
          <w:sz w:val="17"/>
        </w:rPr>
        <w:t>|   |   `-- aggregation.py</w:t>
      </w:r>
      <w:r>
        <w:br/>
      </w:r>
      <w:r>
        <w:rPr>
          <w:rFonts w:ascii="DejaVu Sans Mono" w:hAnsi="DejaVu Sans Mono"/>
          <w:sz w:val="17"/>
        </w:rPr>
        <w:t>|   |-- channel_selection/</w:t>
      </w:r>
      <w:r>
        <w:br/>
      </w:r>
      <w:r>
        <w:rPr>
          <w:rFonts w:ascii="DejaVu Sans Mono" w:hAnsi="DejaVu Sans Mono"/>
          <w:sz w:val="17"/>
        </w:rPr>
        <w:t>|   |   |-- ranking.py</w:t>
      </w:r>
      <w:r>
        <w:br/>
      </w:r>
      <w:r>
        <w:rPr>
          <w:rFonts w:ascii="DejaVu Sans Mono" w:hAnsi="DejaVu Sans Mono"/>
          <w:sz w:val="17"/>
        </w:rPr>
        <w:t>|   |   |-- forward_selection.py</w:t>
      </w:r>
      <w:r>
        <w:br/>
      </w:r>
      <w:r>
        <w:rPr>
          <w:rFonts w:ascii="DejaVu Sans Mono" w:hAnsi="DejaVu Sans Mono"/>
          <w:sz w:val="17"/>
        </w:rPr>
        <w:t>|   |   `-- montage_constraints.py</w:t>
      </w:r>
      <w:r>
        <w:br/>
      </w:r>
      <w:r>
        <w:rPr>
          <w:rFonts w:ascii="DejaVu Sans Mono" w:hAnsi="DejaVu Sans Mono"/>
          <w:sz w:val="17"/>
        </w:rPr>
        <w:t>|   `-- reporting/</w:t>
      </w:r>
      <w:r>
        <w:br/>
      </w:r>
      <w:r>
        <w:rPr>
          <w:rFonts w:ascii="DejaVu Sans Mono" w:hAnsi="DejaVu Sans Mono"/>
          <w:sz w:val="17"/>
        </w:rPr>
        <w:t>|       |-- figures.py</w:t>
      </w:r>
      <w:r>
        <w:br/>
      </w:r>
      <w:r>
        <w:rPr>
          <w:rFonts w:ascii="DejaVu Sans Mono" w:hAnsi="DejaVu Sans Mono"/>
          <w:sz w:val="17"/>
        </w:rPr>
        <w:t>|       `-- tables.py</w:t>
      </w:r>
      <w:r>
        <w:br/>
      </w:r>
      <w:r>
        <w:rPr>
          <w:rFonts w:ascii="DejaVu Sans Mono" w:hAnsi="DejaVu Sans Mono"/>
          <w:sz w:val="17"/>
        </w:rPr>
        <w:t>|-- notebooks/</w:t>
      </w:r>
      <w:r>
        <w:br/>
      </w:r>
      <w:r>
        <w:rPr>
          <w:rFonts w:ascii="DejaVu Sans Mono" w:hAnsi="DejaVu Sans Mono"/>
          <w:sz w:val="17"/>
        </w:rPr>
        <w:t>|   |-- 01_dataset_qc.ipynb</w:t>
      </w:r>
      <w:r>
        <w:br/>
      </w:r>
      <w:r>
        <w:rPr>
          <w:rFonts w:ascii="DejaVu Sans Mono" w:hAnsi="DejaVu Sans Mono"/>
          <w:sz w:val="17"/>
        </w:rPr>
        <w:t>|   |-- 02_dice_replication.ipynb</w:t>
      </w:r>
      <w:r>
        <w:br/>
      </w:r>
      <w:r>
        <w:rPr>
          <w:rFonts w:ascii="DejaVu Sans Mono" w:hAnsi="DejaVu Sans Mono"/>
          <w:sz w:val="17"/>
        </w:rPr>
        <w:t>|   |-- 03_spectral_critique.ipynb</w:t>
      </w:r>
      <w:r>
        <w:br/>
      </w:r>
      <w:r>
        <w:rPr>
          <w:rFonts w:ascii="DejaVu Sans Mono" w:hAnsi="DejaVu Sans Mono"/>
          <w:sz w:val="17"/>
        </w:rPr>
        <w:t>|   |-- 04_connectivity_critique.ipynb</w:t>
      </w:r>
      <w:r>
        <w:br/>
      </w:r>
      <w:r>
        <w:rPr>
          <w:rFonts w:ascii="DejaVu Sans Mono" w:hAnsi="DejaVu Sans Mono"/>
          <w:sz w:val="17"/>
        </w:rPr>
        <w:t>|   |-- 05_specificity_mmse.ipynb</w:t>
      </w:r>
      <w:r>
        <w:br/>
      </w:r>
      <w:r>
        <w:rPr>
          <w:rFonts w:ascii="DejaVu Sans Mono" w:hAnsi="DejaVu Sans Mono"/>
          <w:sz w:val="17"/>
        </w:rPr>
        <w:t>|   |-- 06_ml_comparison.ipynb</w:t>
      </w:r>
      <w:r>
        <w:br/>
      </w:r>
      <w:r>
        <w:rPr>
          <w:rFonts w:ascii="DejaVu Sans Mono" w:hAnsi="DejaVu Sans Mono"/>
          <w:sz w:val="17"/>
        </w:rPr>
        <w:t>|   `-- 07_channel_reduction.ipynb</w:t>
      </w:r>
      <w:r>
        <w:br/>
      </w:r>
      <w:r>
        <w:rPr>
          <w:rFonts w:ascii="DejaVu Sans Mono" w:hAnsi="DejaVu Sans Mono"/>
          <w:sz w:val="17"/>
        </w:rPr>
        <w:t>|-- results/</w:t>
      </w:r>
      <w:r>
        <w:br/>
      </w:r>
      <w:r>
        <w:rPr>
          <w:rFonts w:ascii="DejaVu Sans Mono" w:hAnsi="DejaVu Sans Mono"/>
          <w:sz w:val="17"/>
        </w:rPr>
        <w:t>|   |-- figures/</w:t>
      </w:r>
      <w:r>
        <w:br/>
      </w:r>
      <w:r>
        <w:rPr>
          <w:rFonts w:ascii="DejaVu Sans Mono" w:hAnsi="DejaVu Sans Mono"/>
          <w:sz w:val="17"/>
        </w:rPr>
        <w:t>|   |-- tables/</w:t>
      </w:r>
      <w:r>
        <w:br/>
      </w:r>
      <w:r>
        <w:rPr>
          <w:rFonts w:ascii="DejaVu Sans Mono" w:hAnsi="DejaVu Sans Mono"/>
          <w:sz w:val="17"/>
        </w:rPr>
        <w:t>|   |-- models/</w:t>
      </w:r>
      <w:r>
        <w:br/>
      </w:r>
      <w:r>
        <w:rPr>
          <w:rFonts w:ascii="DejaVu Sans Mono" w:hAnsi="DejaVu Sans Mono"/>
          <w:sz w:val="17"/>
        </w:rPr>
        <w:t>|   `-- logs/</w:t>
      </w:r>
      <w:r>
        <w:br/>
      </w:r>
      <w:r>
        <w:rPr>
          <w:rFonts w:ascii="DejaVu Sans Mono" w:hAnsi="DejaVu Sans Mono"/>
          <w:sz w:val="17"/>
        </w:rPr>
        <w:t>`-- tests/</w:t>
      </w:r>
    </w:p>
    <w:p>
      <w:pPr>
        <w:pStyle w:val="Heading2"/>
        <w:keepNext/>
      </w:pPr>
      <w:r>
        <w:t>7.3 Reproducibility rules</w:t>
      </w:r>
    </w:p>
    <w:p>
      <w:pPr>
        <w:pStyle w:val="ListBullet"/>
        <w:spacing w:after="40"/>
      </w:pPr>
      <w:r>
        <w:rPr>
          <w:rFonts w:ascii="Carlito" w:hAnsi="Carlito"/>
          <w:sz w:val="20"/>
        </w:rPr>
        <w:t>All analysis parameters must live in config.yaml rather than being buried in notebooks.</w:t>
      </w:r>
    </w:p>
    <w:p>
      <w:pPr>
        <w:pStyle w:val="ListBullet"/>
        <w:spacing w:after="40"/>
      </w:pPr>
      <w:r>
        <w:rPr>
          <w:rFonts w:ascii="Carlito" w:hAnsi="Carlito"/>
          <w:sz w:val="20"/>
        </w:rPr>
        <w:t>Notebooks should call functions from src/; notebooks are for inspection and reporting, not the sole implementation.</w:t>
      </w:r>
    </w:p>
    <w:p>
      <w:pPr>
        <w:pStyle w:val="ListBullet"/>
        <w:spacing w:after="40"/>
      </w:pPr>
      <w:r>
        <w:rPr>
          <w:rFonts w:ascii="Carlito" w:hAnsi="Carlito"/>
          <w:sz w:val="20"/>
        </w:rPr>
        <w:t>Every generated feature table must include subject_id and group. Window-level tables must also include window_id and start_time.</w:t>
      </w:r>
    </w:p>
    <w:p>
      <w:pPr>
        <w:pStyle w:val="ListBullet"/>
        <w:spacing w:after="40"/>
      </w:pPr>
      <w:r>
        <w:rPr>
          <w:rFonts w:ascii="Carlito" w:hAnsi="Carlito"/>
          <w:sz w:val="20"/>
        </w:rPr>
        <w:t>Save package versions and random seeds with each model result.</w:t>
      </w:r>
    </w:p>
    <w:p>
      <w:pPr>
        <w:pStyle w:val="ListBullet"/>
        <w:spacing w:after="40"/>
      </w:pPr>
      <w:r>
        <w:rPr>
          <w:rFonts w:ascii="Carlito" w:hAnsi="Carlito"/>
          <w:sz w:val="20"/>
        </w:rPr>
        <w:t>Never commit the 4+ GB dataset to GitHub. Commit download instructions and dataset DOI instead.</w:t>
      </w:r>
    </w:p>
    <w:p>
      <w:pPr>
        <w:pStyle w:val="Heading1"/>
        <w:keepNext/>
      </w:pPr>
      <w:r>
        <w:t>8. Data Ingestion and Quality Control</w:t>
      </w:r>
    </w:p>
    <w:p>
      <w:pPr>
        <w:pStyle w:val="Heading2"/>
        <w:keepNext/>
      </w:pPr>
      <w:r>
        <w:t>8.1 Loader requirements</w:t>
      </w:r>
    </w:p>
    <w:p>
      <w:pPr>
        <w:spacing w:after="110"/>
      </w:pPr>
      <w:r>
        <w:rPr>
          <w:rFonts w:ascii="Carlito" w:hAnsi="Carlito"/>
          <w:i w:val="0"/>
          <w:sz w:val="20"/>
        </w:rPr>
        <w:t>The loader is the foundation of the project. It should find each subject's derivative EEG file, attach metadata from participants.tsv, standardize channel order, and return an MNE Raw object plus a metadata record. The exact storage path should be configurable.</w:t>
      </w:r>
    </w:p>
    <w:p>
      <w:pPr>
        <w:pStyle w:val="CodeBlock"/>
        <w:shd w:fill="F3F4F6"/>
      </w:pPr>
      <w:r>
        <w:rPr>
          <w:rFonts w:ascii="DejaVu Sans Mono" w:hAnsi="DejaVu Sans Mono"/>
          <w:sz w:val="17"/>
        </w:rPr>
        <w:t>def load_subject(subject_id, config):</w:t>
      </w:r>
      <w:r>
        <w:br/>
      </w:r>
      <w:r>
        <w:rPr>
          <w:rFonts w:ascii="DejaVu Sans Mono" w:hAnsi="DejaVu Sans Mono"/>
          <w:sz w:val="17"/>
        </w:rPr>
        <w:t xml:space="preserve">    """Return (raw, metadata) for one subject.</w:t>
      </w:r>
      <w:r>
        <w:br/>
      </w:r>
      <w:r>
        <w:rPr>
          <w:rFonts w:ascii="DejaVu Sans Mono" w:hAnsi="DejaVu Sans Mono"/>
          <w:sz w:val="17"/>
        </w:rPr>
      </w:r>
      <w:r>
        <w:br/>
      </w:r>
      <w:r>
        <w:rPr>
          <w:rFonts w:ascii="DejaVu Sans Mono" w:hAnsi="DejaVu Sans Mono"/>
          <w:sz w:val="17"/>
        </w:rPr>
        <w:t xml:space="preserve">    Required checks:</w:t>
      </w:r>
      <w:r>
        <w:br/>
      </w:r>
      <w:r>
        <w:rPr>
          <w:rFonts w:ascii="DejaVu Sans Mono" w:hAnsi="DejaVu Sans Mono"/>
          <w:sz w:val="17"/>
        </w:rPr>
        <w:t xml:space="preserve">      - 19 expected EEG channels</w:t>
      </w:r>
      <w:r>
        <w:br/>
      </w:r>
      <w:r>
        <w:rPr>
          <w:rFonts w:ascii="DejaVu Sans Mono" w:hAnsi="DejaVu Sans Mono"/>
          <w:sz w:val="17"/>
        </w:rPr>
        <w:t xml:space="preserve">      - 500 Hz sampling rate (or documented resampling)</w:t>
      </w:r>
      <w:r>
        <w:br/>
      </w:r>
      <w:r>
        <w:rPr>
          <w:rFonts w:ascii="DejaVu Sans Mono" w:hAnsi="DejaVu Sans Mono"/>
          <w:sz w:val="17"/>
        </w:rPr>
        <w:t xml:space="preserve">      - finite data</w:t>
      </w:r>
      <w:r>
        <w:br/>
      </w:r>
      <w:r>
        <w:rPr>
          <w:rFonts w:ascii="DejaVu Sans Mono" w:hAnsi="DejaVu Sans Mono"/>
          <w:sz w:val="17"/>
        </w:rPr>
        <w:t xml:space="preserve">      - valid diagnosis label</w:t>
      </w:r>
      <w:r>
        <w:br/>
      </w:r>
      <w:r>
        <w:rPr>
          <w:rFonts w:ascii="DejaVu Sans Mono" w:hAnsi="DejaVu Sans Mono"/>
          <w:sz w:val="17"/>
        </w:rPr>
        <w:t xml:space="preserve">      - consistent channel order</w:t>
      </w:r>
      <w:r>
        <w:br/>
      </w:r>
      <w:r>
        <w:rPr>
          <w:rFonts w:ascii="DejaVu Sans Mono" w:hAnsi="DejaVu Sans Mono"/>
          <w:sz w:val="17"/>
        </w:rPr>
        <w:t xml:space="preserve">    """</w:t>
      </w:r>
      <w:r>
        <w:br/>
      </w:r>
      <w:r>
        <w:rPr>
          <w:rFonts w:ascii="DejaVu Sans Mono" w:hAnsi="DejaVu Sans Mono"/>
          <w:sz w:val="17"/>
        </w:rPr>
        <w:t xml:space="preserve">    ...</w:t>
      </w:r>
    </w:p>
    <w:p>
      <w:pPr>
        <w:pStyle w:val="Heading2"/>
        <w:keepNext/>
      </w:pPr>
      <w:r>
        <w:t>8.2 Automated QC table</w:t>
      </w:r>
    </w:p>
    <w:tbl>
      <w:tblPr>
        <w:tblStyle w:val="TableGrid"/>
        <w:tblW w:type="auto" w:w="0"/>
        <w:jc w:val="center"/>
        <w:tblLook w:firstColumn="1" w:firstRow="1" w:lastColumn="0" w:lastRow="0" w:noHBand="0" w:noVBand="1" w:val="04A0"/>
      </w:tblPr>
      <w:tblGrid>
        <w:gridCol w:w="4997"/>
        <w:gridCol w:w="4997"/>
      </w:tblGrid>
      <w:tr>
        <w:trPr>
          <w:cantSplit/>
        </w:trPr>
        <w:tc>
          <w:tcPr>
            <w:tcW w:type="dxa" w:w="3024"/>
            <w:vAlign w:val="center"/>
            <w:shd w:fill="1B3A6B"/>
          </w:tcPr>
          <w:p>
            <w:pPr>
              <w:spacing w:after="0"/>
            </w:pPr>
            <w:r/>
            <w:r>
              <w:rPr>
                <w:rFonts w:ascii="Carlito" w:hAnsi="Carlito"/>
                <w:b/>
                <w:color w:val="FFFFFF"/>
                <w:sz w:val="18"/>
              </w:rPr>
              <w:t>Field</w:t>
            </w:r>
          </w:p>
        </w:tc>
        <w:tc>
          <w:tcPr>
            <w:tcW w:type="dxa" w:w="7056"/>
            <w:vAlign w:val="center"/>
            <w:shd w:fill="1B3A6B"/>
          </w:tcPr>
          <w:p>
            <w:pPr>
              <w:spacing w:after="0"/>
            </w:pPr>
            <w:r/>
            <w:r>
              <w:rPr>
                <w:rFonts w:ascii="Carlito" w:hAnsi="Carlito"/>
                <w:b/>
                <w:color w:val="FFFFFF"/>
                <w:sz w:val="18"/>
              </w:rPr>
              <w:t>Purpose</w:t>
            </w:r>
          </w:p>
        </w:tc>
      </w:tr>
      <w:tr>
        <w:trPr>
          <w:cantSplit/>
        </w:trPr>
        <w:tc>
          <w:tcPr>
            <w:tcW w:type="dxa" w:w="3024"/>
            <w:vAlign w:val="center"/>
          </w:tcPr>
          <w:p>
            <w:pPr>
              <w:spacing w:after="0"/>
            </w:pPr>
            <w:r/>
            <w:r>
              <w:rPr>
                <w:rFonts w:ascii="Carlito" w:hAnsi="Carlito"/>
                <w:b w:val="0"/>
                <w:color w:val="232323"/>
                <w:sz w:val="17"/>
              </w:rPr>
              <w:t>subject_id</w:t>
            </w:r>
          </w:p>
        </w:tc>
        <w:tc>
          <w:tcPr>
            <w:tcW w:type="dxa" w:w="7056"/>
            <w:vAlign w:val="center"/>
          </w:tcPr>
          <w:p>
            <w:pPr>
              <w:spacing w:after="0"/>
            </w:pPr>
            <w:r/>
            <w:r>
              <w:rPr>
                <w:rFonts w:ascii="Carlito" w:hAnsi="Carlito"/>
                <w:b w:val="0"/>
                <w:color w:val="232323"/>
                <w:sz w:val="17"/>
              </w:rPr>
              <w:t>Trace every sample to one independent participant</w:t>
            </w:r>
          </w:p>
        </w:tc>
      </w:tr>
      <w:tr>
        <w:trPr>
          <w:cantSplit/>
        </w:trPr>
        <w:tc>
          <w:tcPr>
            <w:tcW w:type="dxa" w:w="3024"/>
            <w:vAlign w:val="center"/>
            <w:shd w:fill="F4F6F8"/>
          </w:tcPr>
          <w:p>
            <w:pPr>
              <w:spacing w:after="0"/>
            </w:pPr>
            <w:r/>
            <w:r>
              <w:rPr>
                <w:rFonts w:ascii="Carlito" w:hAnsi="Carlito"/>
                <w:b w:val="0"/>
                <w:color w:val="232323"/>
                <w:sz w:val="17"/>
              </w:rPr>
              <w:t>diagnosis</w:t>
            </w:r>
          </w:p>
        </w:tc>
        <w:tc>
          <w:tcPr>
            <w:tcW w:type="dxa" w:w="7056"/>
            <w:vAlign w:val="center"/>
            <w:shd w:fill="F4F6F8"/>
          </w:tcPr>
          <w:p>
            <w:pPr>
              <w:spacing w:after="0"/>
            </w:pPr>
            <w:r/>
            <w:r>
              <w:rPr>
                <w:rFonts w:ascii="Carlito" w:hAnsi="Carlito"/>
                <w:b w:val="0"/>
                <w:color w:val="232323"/>
                <w:sz w:val="17"/>
              </w:rPr>
              <w:t>AD / FTD / CN label</w:t>
            </w:r>
          </w:p>
        </w:tc>
      </w:tr>
      <w:tr>
        <w:trPr>
          <w:cantSplit/>
        </w:trPr>
        <w:tc>
          <w:tcPr>
            <w:tcW w:type="dxa" w:w="3024"/>
            <w:vAlign w:val="center"/>
          </w:tcPr>
          <w:p>
            <w:pPr>
              <w:spacing w:after="0"/>
            </w:pPr>
            <w:r/>
            <w:r>
              <w:rPr>
                <w:rFonts w:ascii="Carlito" w:hAnsi="Carlito"/>
                <w:b w:val="0"/>
                <w:color w:val="232323"/>
                <w:sz w:val="17"/>
              </w:rPr>
              <w:t>duration_min</w:t>
            </w:r>
          </w:p>
        </w:tc>
        <w:tc>
          <w:tcPr>
            <w:tcW w:type="dxa" w:w="7056"/>
            <w:vAlign w:val="center"/>
          </w:tcPr>
          <w:p>
            <w:pPr>
              <w:spacing w:after="0"/>
            </w:pPr>
            <w:r/>
            <w:r>
              <w:rPr>
                <w:rFonts w:ascii="Carlito" w:hAnsi="Carlito"/>
                <w:b w:val="0"/>
                <w:color w:val="232323"/>
                <w:sz w:val="17"/>
              </w:rPr>
              <w:t>Identify unequal recording durations</w:t>
            </w:r>
          </w:p>
        </w:tc>
      </w:tr>
      <w:tr>
        <w:trPr>
          <w:cantSplit/>
        </w:trPr>
        <w:tc>
          <w:tcPr>
            <w:tcW w:type="dxa" w:w="3024"/>
            <w:vAlign w:val="center"/>
            <w:shd w:fill="F4F6F8"/>
          </w:tcPr>
          <w:p>
            <w:pPr>
              <w:spacing w:after="0"/>
            </w:pPr>
            <w:r/>
            <w:r>
              <w:rPr>
                <w:rFonts w:ascii="Carlito" w:hAnsi="Carlito"/>
                <w:b w:val="0"/>
                <w:color w:val="232323"/>
                <w:sz w:val="17"/>
              </w:rPr>
              <w:t>sfreq</w:t>
            </w:r>
          </w:p>
        </w:tc>
        <w:tc>
          <w:tcPr>
            <w:tcW w:type="dxa" w:w="7056"/>
            <w:vAlign w:val="center"/>
            <w:shd w:fill="F4F6F8"/>
          </w:tcPr>
          <w:p>
            <w:pPr>
              <w:spacing w:after="0"/>
            </w:pPr>
            <w:r/>
            <w:r>
              <w:rPr>
                <w:rFonts w:ascii="Carlito" w:hAnsi="Carlito"/>
                <w:b w:val="0"/>
                <w:color w:val="232323"/>
                <w:sz w:val="17"/>
              </w:rPr>
              <w:t>Verify sampling frequency</w:t>
            </w:r>
          </w:p>
        </w:tc>
      </w:tr>
      <w:tr>
        <w:trPr>
          <w:cantSplit/>
        </w:trPr>
        <w:tc>
          <w:tcPr>
            <w:tcW w:type="dxa" w:w="3024"/>
            <w:vAlign w:val="center"/>
          </w:tcPr>
          <w:p>
            <w:pPr>
              <w:spacing w:after="0"/>
            </w:pPr>
            <w:r/>
            <w:r>
              <w:rPr>
                <w:rFonts w:ascii="Carlito" w:hAnsi="Carlito"/>
                <w:b w:val="0"/>
                <w:color w:val="232323"/>
                <w:sz w:val="17"/>
              </w:rPr>
              <w:t>n_channels</w:t>
            </w:r>
          </w:p>
        </w:tc>
        <w:tc>
          <w:tcPr>
            <w:tcW w:type="dxa" w:w="7056"/>
            <w:vAlign w:val="center"/>
          </w:tcPr>
          <w:p>
            <w:pPr>
              <w:spacing w:after="0"/>
            </w:pPr>
            <w:r/>
            <w:r>
              <w:rPr>
                <w:rFonts w:ascii="Carlito" w:hAnsi="Carlito"/>
                <w:b w:val="0"/>
                <w:color w:val="232323"/>
                <w:sz w:val="17"/>
              </w:rPr>
              <w:t>Detect missing channels</w:t>
            </w:r>
          </w:p>
        </w:tc>
      </w:tr>
      <w:tr>
        <w:trPr>
          <w:cantSplit/>
        </w:trPr>
        <w:tc>
          <w:tcPr>
            <w:tcW w:type="dxa" w:w="3024"/>
            <w:vAlign w:val="center"/>
            <w:shd w:fill="F4F6F8"/>
          </w:tcPr>
          <w:p>
            <w:pPr>
              <w:spacing w:after="0"/>
            </w:pPr>
            <w:r/>
            <w:r>
              <w:rPr>
                <w:rFonts w:ascii="Carlito" w:hAnsi="Carlito"/>
                <w:b w:val="0"/>
                <w:color w:val="232323"/>
                <w:sz w:val="17"/>
              </w:rPr>
              <w:t>missing_channels</w:t>
            </w:r>
          </w:p>
        </w:tc>
        <w:tc>
          <w:tcPr>
            <w:tcW w:type="dxa" w:w="7056"/>
            <w:vAlign w:val="center"/>
            <w:shd w:fill="F4F6F8"/>
          </w:tcPr>
          <w:p>
            <w:pPr>
              <w:spacing w:after="0"/>
            </w:pPr>
            <w:r/>
            <w:r>
              <w:rPr>
                <w:rFonts w:ascii="Carlito" w:hAnsi="Carlito"/>
                <w:b w:val="0"/>
                <w:color w:val="232323"/>
                <w:sz w:val="17"/>
              </w:rPr>
              <w:t>Explicit channel QC</w:t>
            </w:r>
          </w:p>
        </w:tc>
      </w:tr>
      <w:tr>
        <w:trPr>
          <w:cantSplit/>
        </w:trPr>
        <w:tc>
          <w:tcPr>
            <w:tcW w:type="dxa" w:w="3024"/>
            <w:vAlign w:val="center"/>
          </w:tcPr>
          <w:p>
            <w:pPr>
              <w:spacing w:after="0"/>
            </w:pPr>
            <w:r/>
            <w:r>
              <w:rPr>
                <w:rFonts w:ascii="Carlito" w:hAnsi="Carlito"/>
                <w:b w:val="0"/>
                <w:color w:val="232323"/>
                <w:sz w:val="17"/>
              </w:rPr>
              <w:t>flat_channels</w:t>
            </w:r>
          </w:p>
        </w:tc>
        <w:tc>
          <w:tcPr>
            <w:tcW w:type="dxa" w:w="7056"/>
            <w:vAlign w:val="center"/>
          </w:tcPr>
          <w:p>
            <w:pPr>
              <w:spacing w:after="0"/>
            </w:pPr>
            <w:r/>
            <w:r>
              <w:rPr>
                <w:rFonts w:ascii="Carlito" w:hAnsi="Carlito"/>
                <w:b w:val="0"/>
                <w:color w:val="232323"/>
                <w:sz w:val="17"/>
              </w:rPr>
              <w:t>Low-variance/flatline flag</w:t>
            </w:r>
          </w:p>
        </w:tc>
      </w:tr>
      <w:tr>
        <w:trPr>
          <w:cantSplit/>
        </w:trPr>
        <w:tc>
          <w:tcPr>
            <w:tcW w:type="dxa" w:w="3024"/>
            <w:vAlign w:val="center"/>
            <w:shd w:fill="F4F6F8"/>
          </w:tcPr>
          <w:p>
            <w:pPr>
              <w:spacing w:after="0"/>
            </w:pPr>
            <w:r/>
            <w:r>
              <w:rPr>
                <w:rFonts w:ascii="Carlito" w:hAnsi="Carlito"/>
                <w:b w:val="0"/>
                <w:color w:val="232323"/>
                <w:sz w:val="17"/>
              </w:rPr>
              <w:t>peak_to_peak_uv</w:t>
            </w:r>
          </w:p>
        </w:tc>
        <w:tc>
          <w:tcPr>
            <w:tcW w:type="dxa" w:w="7056"/>
            <w:vAlign w:val="center"/>
            <w:shd w:fill="F4F6F8"/>
          </w:tcPr>
          <w:p>
            <w:pPr>
              <w:spacing w:after="0"/>
            </w:pPr>
            <w:r/>
            <w:r>
              <w:rPr>
                <w:rFonts w:ascii="Carlito" w:hAnsi="Carlito"/>
                <w:b w:val="0"/>
                <w:color w:val="232323"/>
                <w:sz w:val="17"/>
              </w:rPr>
              <w:t>Extreme-amplitude flag</w:t>
            </w:r>
          </w:p>
        </w:tc>
      </w:tr>
      <w:tr>
        <w:trPr>
          <w:cantSplit/>
        </w:trPr>
        <w:tc>
          <w:tcPr>
            <w:tcW w:type="dxa" w:w="3024"/>
            <w:vAlign w:val="center"/>
          </w:tcPr>
          <w:p>
            <w:pPr>
              <w:spacing w:after="0"/>
            </w:pPr>
            <w:r/>
            <w:r>
              <w:rPr>
                <w:rFonts w:ascii="Carlito" w:hAnsi="Carlito"/>
                <w:b w:val="0"/>
                <w:color w:val="232323"/>
                <w:sz w:val="17"/>
              </w:rPr>
              <w:t>nan_count</w:t>
            </w:r>
          </w:p>
        </w:tc>
        <w:tc>
          <w:tcPr>
            <w:tcW w:type="dxa" w:w="7056"/>
            <w:vAlign w:val="center"/>
          </w:tcPr>
          <w:p>
            <w:pPr>
              <w:spacing w:after="0"/>
            </w:pPr>
            <w:r/>
            <w:r>
              <w:rPr>
                <w:rFonts w:ascii="Carlito" w:hAnsi="Carlito"/>
                <w:b w:val="0"/>
                <w:color w:val="232323"/>
                <w:sz w:val="17"/>
              </w:rPr>
              <w:t>Data integrity</w:t>
            </w:r>
          </w:p>
        </w:tc>
      </w:tr>
      <w:tr>
        <w:trPr>
          <w:cantSplit/>
        </w:trPr>
        <w:tc>
          <w:tcPr>
            <w:tcW w:type="dxa" w:w="3024"/>
            <w:vAlign w:val="center"/>
            <w:shd w:fill="F4F6F8"/>
          </w:tcPr>
          <w:p>
            <w:pPr>
              <w:spacing w:after="0"/>
            </w:pPr>
            <w:r/>
            <w:r>
              <w:rPr>
                <w:rFonts w:ascii="Carlito" w:hAnsi="Carlito"/>
                <w:b w:val="0"/>
                <w:color w:val="232323"/>
                <w:sz w:val="17"/>
              </w:rPr>
              <w:t>n_usable_windows</w:t>
            </w:r>
          </w:p>
        </w:tc>
        <w:tc>
          <w:tcPr>
            <w:tcW w:type="dxa" w:w="7056"/>
            <w:vAlign w:val="center"/>
            <w:shd w:fill="F4F6F8"/>
          </w:tcPr>
          <w:p>
            <w:pPr>
              <w:spacing w:after="0"/>
            </w:pPr>
            <w:r/>
            <w:r>
              <w:rPr>
                <w:rFonts w:ascii="Carlito" w:hAnsi="Carlito"/>
                <w:b w:val="0"/>
                <w:color w:val="232323"/>
                <w:sz w:val="17"/>
              </w:rPr>
              <w:t>Downstream sample availability</w:t>
            </w:r>
          </w:p>
        </w:tc>
      </w:tr>
      <w:tr>
        <w:trPr>
          <w:cantSplit/>
        </w:trPr>
        <w:tc>
          <w:tcPr>
            <w:tcW w:type="dxa" w:w="3024"/>
            <w:vAlign w:val="center"/>
          </w:tcPr>
          <w:p>
            <w:pPr>
              <w:spacing w:after="0"/>
            </w:pPr>
            <w:r/>
            <w:r>
              <w:rPr>
                <w:rFonts w:ascii="Carlito" w:hAnsi="Carlito"/>
                <w:b w:val="0"/>
                <w:color w:val="232323"/>
                <w:sz w:val="17"/>
              </w:rPr>
              <w:t>qc_status</w:t>
            </w:r>
          </w:p>
        </w:tc>
        <w:tc>
          <w:tcPr>
            <w:tcW w:type="dxa" w:w="7056"/>
            <w:vAlign w:val="center"/>
          </w:tcPr>
          <w:p>
            <w:pPr>
              <w:spacing w:after="0"/>
            </w:pPr>
            <w:r/>
            <w:r>
              <w:rPr>
                <w:rFonts w:ascii="Carlito" w:hAnsi="Carlito"/>
                <w:b w:val="0"/>
                <w:color w:val="232323"/>
                <w:sz w:val="17"/>
              </w:rPr>
              <w:t>PASS / REVIEW / FAIL with reason</w:t>
            </w:r>
          </w:p>
        </w:tc>
      </w:tr>
    </w:tbl>
    <w:p>
      <w:pPr>
        <w:spacing w:after="0"/>
      </w:pPr>
    </w:p>
    <w:p>
      <w:pPr>
        <w:pStyle w:val="Heading2"/>
        <w:keepNext/>
      </w:pPr>
      <w:r>
        <w:t>8.3 Required QC figures before feature extraction</w:t>
      </w:r>
    </w:p>
    <w:p>
      <w:pPr>
        <w:pStyle w:val="ListBullet"/>
        <w:spacing w:after="40"/>
      </w:pPr>
      <w:r>
        <w:rPr>
          <w:rFonts w:ascii="Carlito" w:hAnsi="Carlito"/>
          <w:sz w:val="20"/>
        </w:rPr>
        <w:t>Group counts and demographic distributions.</w:t>
      </w:r>
    </w:p>
    <w:p>
      <w:pPr>
        <w:pStyle w:val="ListBullet"/>
        <w:spacing w:after="40"/>
      </w:pPr>
      <w:r>
        <w:rPr>
          <w:rFonts w:ascii="Carlito" w:hAnsi="Carlito"/>
          <w:sz w:val="20"/>
        </w:rPr>
        <w:t>Recording duration by subject and diagnosis.</w:t>
      </w:r>
    </w:p>
    <w:p>
      <w:pPr>
        <w:pStyle w:val="ListBullet"/>
        <w:spacing w:after="40"/>
      </w:pPr>
      <w:r>
        <w:rPr>
          <w:rFonts w:ascii="Carlito" w:hAnsi="Carlito"/>
          <w:sz w:val="20"/>
        </w:rPr>
        <w:t>Example 10-20 second time-series segment from at least one subject per group.</w:t>
      </w:r>
    </w:p>
    <w:p>
      <w:pPr>
        <w:pStyle w:val="ListBullet"/>
        <w:spacing w:after="40"/>
      </w:pPr>
      <w:r>
        <w:rPr>
          <w:rFonts w:ascii="Carlito" w:hAnsi="Carlito"/>
          <w:sz w:val="20"/>
        </w:rPr>
        <w:t>Subject PSDs from 0.5-45 Hz, with group-average PSD and dispersion.</w:t>
      </w:r>
    </w:p>
    <w:p>
      <w:pPr>
        <w:pStyle w:val="ListBullet"/>
        <w:spacing w:after="40"/>
      </w:pPr>
      <w:r>
        <w:rPr>
          <w:rFonts w:ascii="Carlito" w:hAnsi="Carlito"/>
          <w:sz w:val="20"/>
        </w:rPr>
        <w:t>Channel-wise variance / amplitude distribution.</w:t>
      </w:r>
    </w:p>
    <w:p>
      <w:pPr>
        <w:pStyle w:val="ListBullet"/>
        <w:spacing w:after="40"/>
      </w:pPr>
      <w:r>
        <w:rPr>
          <w:rFonts w:ascii="Carlito" w:hAnsi="Carlito"/>
          <w:sz w:val="20"/>
        </w:rPr>
        <w:t>Heatmap of missing or rejected channels/windows.</w:t>
      </w:r>
    </w:p>
    <w:tbl>
      <w:tblPr>
        <w:tblW w:type="auto" w:w="0"/>
        <w:jc w:val="center"/>
        <w:tblLook w:firstColumn="1" w:firstRow="1" w:lastColumn="0" w:lastRow="0" w:noHBand="0" w:noVBand="1" w:val="04A0"/>
      </w:tblPr>
      <w:tblGrid>
        <w:gridCol w:w="9994"/>
      </w:tblGrid>
      <w:tr>
        <w:trPr>
          <w:cantSplit/>
        </w:trPr>
        <w:tc>
          <w:tcPr>
            <w:tcW w:type="dxa" w:w="9994"/>
            <w:shd w:fill="EAF0F8"/>
          </w:tcPr>
          <w:p>
            <w:pPr>
              <w:spacing w:after="40"/>
            </w:pPr>
            <w:r>
              <w:rPr>
                <w:rFonts w:ascii="Carlito" w:hAnsi="Carlito"/>
                <w:b/>
                <w:color w:val="1B3A6B"/>
                <w:sz w:val="20"/>
              </w:rPr>
              <w:t xml:space="preserve">Stop condition:  </w:t>
            </w:r>
            <w:r>
              <w:rPr>
                <w:rFonts w:ascii="Carlito" w:hAnsi="Carlito"/>
                <w:sz w:val="20"/>
              </w:rPr>
              <w:t>Do not proceed to ML until all 88 subjects are accounted for and every exclusion has a documented reason.</w:t>
            </w:r>
          </w:p>
        </w:tc>
      </w:tr>
    </w:tbl>
    <w:p>
      <w:pPr>
        <w:spacing w:after="0"/>
      </w:pPr>
    </w:p>
    <w:p>
      <w:pPr>
        <w:pStyle w:val="Heading1"/>
        <w:keepNext/>
      </w:pPr>
      <w:r>
        <w:t>9. Epoching and Subject-Level Sampling</w:t>
      </w:r>
    </w:p>
    <w:p>
      <w:pPr>
        <w:pStyle w:val="Heading2"/>
        <w:keepNext/>
      </w:pPr>
      <w:r>
        <w:t>9.1 Replication epoching</w:t>
      </w:r>
    </w:p>
    <w:p>
      <w:pPr>
        <w:spacing w:after="110"/>
      </w:pPr>
      <w:r>
        <w:rPr>
          <w:rFonts w:ascii="Carlito" w:hAnsi="Carlito"/>
          <w:i w:val="0"/>
          <w:sz w:val="20"/>
        </w:rPr>
        <w:t>Track A uses 30-second windows with 15-second overlap, matching DICE-Net [2]. Each 30-second window can be represented as 30 one-second feature frames for strict feature replication.</w:t>
      </w:r>
    </w:p>
    <w:p>
      <w:pPr>
        <w:pStyle w:val="Heading2"/>
        <w:keepNext/>
      </w:pPr>
      <w:r>
        <w:t>9.2 Independence problem</w:t>
      </w:r>
    </w:p>
    <w:p>
      <w:pPr>
        <w:spacing w:after="110"/>
      </w:pPr>
      <w:r>
        <w:rPr>
          <w:rFonts w:ascii="Carlito" w:hAnsi="Carlito"/>
          <w:i w:val="0"/>
          <w:sz w:val="20"/>
        </w:rPr>
        <w:t>Overlapping windows are highly correlated and are never independent subjects. All splits, inferential statistics, uncertainty estimates, and headline ML metrics must respect subject identity. The AHEPA benchmark review explicitly distinguishes subject-level validation from less rigorous epoch-level validation [3].</w:t>
      </w:r>
    </w:p>
    <w:p>
      <w:pPr>
        <w:pStyle w:val="Heading2"/>
        <w:keepNext/>
      </w:pPr>
      <w:r>
        <w:t>9.3 Equal subject weighting</w:t>
      </w:r>
    </w:p>
    <w:p>
      <w:pPr>
        <w:spacing w:after="110"/>
      </w:pPr>
      <w:r>
        <w:rPr>
          <w:rFonts w:ascii="Carlito" w:hAnsi="Carlito"/>
          <w:i w:val="0"/>
          <w:sz w:val="20"/>
        </w:rPr>
        <w:t>Recordings have unequal duration, so subjects generate different numbers of windows. Without correction, longer recordings contribute more training examples and more influence. Use at least one of the following strategies and report it:</w:t>
      </w:r>
    </w:p>
    <w:p>
      <w:pPr>
        <w:pStyle w:val="ListBullet"/>
        <w:spacing w:after="40"/>
      </w:pPr>
      <w:r>
        <w:rPr>
          <w:rFonts w:ascii="Carlito" w:hAnsi="Carlito"/>
          <w:sz w:val="20"/>
        </w:rPr>
        <w:t>Primary classical analysis: summarize window features to one subject-level vector using robust statistics (for example median, IQR, and/or trimmed mean).</w:t>
      </w:r>
    </w:p>
    <w:p>
      <w:pPr>
        <w:pStyle w:val="ListBullet"/>
        <w:spacing w:after="40"/>
      </w:pPr>
      <w:r>
        <w:rPr>
          <w:rFonts w:ascii="Carlito" w:hAnsi="Carlito"/>
          <w:sz w:val="20"/>
        </w:rPr>
        <w:t>Window-level model: use a subject-balanced sampler so each subject contributes approximately equally per training epoch.</w:t>
      </w:r>
    </w:p>
    <w:p>
      <w:pPr>
        <w:pStyle w:val="ListBullet"/>
        <w:spacing w:after="40"/>
      </w:pPr>
      <w:r>
        <w:rPr>
          <w:rFonts w:ascii="Carlito" w:hAnsi="Carlito"/>
          <w:sz w:val="20"/>
        </w:rPr>
        <w:t>Sensitivity analysis: cap or randomly sample the same number of windows per subject inside each training fold.</w:t>
      </w:r>
    </w:p>
    <w:p>
      <w:pPr>
        <w:pStyle w:val="Heading2"/>
        <w:keepNext/>
      </w:pPr>
      <w:r>
        <w:t>9.4 Subject-level feature table</w:t>
      </w:r>
    </w:p>
    <w:p>
      <w:pPr>
        <w:pStyle w:val="CodeBlock"/>
        <w:shd w:fill="F3F4F6"/>
      </w:pPr>
      <w:r>
        <w:rPr>
          <w:rFonts w:ascii="DejaVu Sans Mono" w:hAnsi="DejaVu Sans Mono"/>
          <w:sz w:val="17"/>
        </w:rPr>
        <w:t>subject_id | diagnosis | feature_family | channel | band | value</w:t>
      </w:r>
      <w:r>
        <w:br/>
      </w:r>
      <w:r>
        <w:rPr>
          <w:rFonts w:ascii="DejaVu Sans Mono" w:hAnsi="DejaVu Sans Mono"/>
          <w:sz w:val="17"/>
        </w:rPr>
        <w:t>sub-001    | AD        | RBP            | O1      | alpha| ...</w:t>
      </w:r>
      <w:r>
        <w:br/>
      </w:r>
      <w:r>
        <w:rPr>
          <w:rFonts w:ascii="DejaVu Sans Mono" w:hAnsi="DejaVu Sans Mono"/>
          <w:sz w:val="17"/>
        </w:rPr>
        <w:t>sub-001    | AD        | IAF            | O1      | peak | ...</w:t>
      </w:r>
      <w:r>
        <w:br/>
      </w:r>
      <w:r>
        <w:rPr>
          <w:rFonts w:ascii="DejaVu Sans Mono" w:hAnsi="DejaVu Sans Mono"/>
          <w:sz w:val="17"/>
        </w:rPr>
        <w:t>...</w:t>
      </w:r>
    </w:p>
    <w:p>
      <w:pPr>
        <w:pStyle w:val="Heading1"/>
        <w:keepNext/>
      </w:pPr>
      <w:r>
        <w:t>10. DICE-Net Biomarker Replication</w:t>
      </w:r>
    </w:p>
    <w:p>
      <w:pPr>
        <w:pStyle w:val="Heading2"/>
        <w:keepNext/>
      </w:pPr>
      <w:r>
        <w:t>10.1 Relative Band Power (RBP)</w:t>
      </w:r>
    </w:p>
    <w:p>
      <w:pPr>
        <w:spacing w:after="110"/>
      </w:pPr>
      <w:r>
        <w:rPr>
          <w:rFonts w:ascii="Carlito" w:hAnsi="Carlito"/>
          <w:i w:val="0"/>
          <w:sz w:val="20"/>
        </w:rPr>
        <w:t>For each one-second segment and channel, estimate the PSD using a Welch-style procedure and calculate band power. Replicate the DICE fixed bands: delta 0.5-4 Hz, theta 4-8 Hz, alpha 8-13 Hz, beta 13-25 Hz, gamma 25-45 Hz [2].</w:t>
      </w:r>
    </w:p>
    <w:p>
      <w:pPr>
        <w:pStyle w:val="CodeBlock"/>
        <w:shd w:fill="F3F4F6"/>
      </w:pPr>
      <w:r>
        <w:rPr>
          <w:rFonts w:ascii="DejaVu Sans Mono" w:hAnsi="DejaVu Sans Mono"/>
          <w:sz w:val="17"/>
        </w:rPr>
        <w:t>RBP_band = power_in_band / total_power_0.5_to_45_Hz</w:t>
      </w:r>
      <w:r>
        <w:br/>
      </w:r>
      <w:r>
        <w:rPr>
          <w:rFonts w:ascii="DejaVu Sans Mono" w:hAnsi="DejaVu Sans Mono"/>
          <w:sz w:val="17"/>
        </w:rPr>
      </w:r>
      <w:r>
        <w:br/>
      </w:r>
      <w:r>
        <w:rPr>
          <w:rFonts w:ascii="DejaVu Sans Mono" w:hAnsi="DejaVu Sans Mono"/>
          <w:sz w:val="17"/>
        </w:rPr>
        <w:t>Output for one 30 s window:</w:t>
      </w:r>
      <w:r>
        <w:br/>
      </w:r>
      <w:r>
        <w:rPr>
          <w:rFonts w:ascii="DejaVu Sans Mono" w:hAnsi="DejaVu Sans Mono"/>
          <w:sz w:val="17"/>
        </w:rPr>
        <w:t>shape = [time=30, bands=5, channels=19]</w:t>
      </w:r>
    </w:p>
    <w:p>
      <w:pPr>
        <w:spacing w:after="110"/>
      </w:pPr>
      <w:r>
        <w:rPr>
          <w:rFonts w:ascii="Carlito" w:hAnsi="Carlito"/>
          <w:i w:val="0"/>
          <w:sz w:val="20"/>
        </w:rPr>
        <w:t>The exact denominator and Welch settings should be verified against the paper/code if available. Store the implementation choice in the decision log rather than silently assuming equivalence.</w:t>
      </w:r>
    </w:p>
    <w:p>
      <w:pPr>
        <w:pStyle w:val="Heading2"/>
        <w:keepNext/>
      </w:pPr>
      <w:r>
        <w:t>10.2 Spectral Coherence Connectivity (SCC)</w:t>
      </w:r>
    </w:p>
    <w:p>
      <w:pPr>
        <w:spacing w:after="110"/>
      </w:pPr>
      <w:r>
        <w:rPr>
          <w:rFonts w:ascii="Carlito" w:hAnsi="Carlito"/>
          <w:i w:val="0"/>
          <w:sz w:val="20"/>
        </w:rPr>
        <w:t>DICE-Net describes SCC as spectral coherence between electrode pairs, followed by averaging connectivity values for each electrode, with Morlet-wavelet time-frequency estimation at representative frequencies for the five bands [2]. Implement two outputs:</w:t>
      </w:r>
    </w:p>
    <w:p>
      <w:pPr>
        <w:pStyle w:val="ListBullet"/>
        <w:spacing w:after="40"/>
      </w:pPr>
      <w:r>
        <w:rPr>
          <w:rFonts w:ascii="Carlito" w:hAnsi="Carlito"/>
          <w:sz w:val="20"/>
        </w:rPr>
        <w:t>Full pairwise coherence matrix per band (19 x 19) for scientific inspection.</w:t>
      </w:r>
    </w:p>
    <w:p>
      <w:pPr>
        <w:pStyle w:val="ListBullet"/>
        <w:spacing w:after="40"/>
      </w:pPr>
      <w:r>
        <w:rPr>
          <w:rFonts w:ascii="Carlito" w:hAnsi="Carlito"/>
          <w:sz w:val="20"/>
        </w:rPr>
        <w:t>DICE-style per-electrode averaged connectivity representation for model comparison.</w:t>
      </w:r>
    </w:p>
    <w:p>
      <w:pPr>
        <w:pStyle w:val="Heading2"/>
        <w:keepNext/>
      </w:pPr>
      <w:r>
        <w:t>10.3 Replication endpoints</w:t>
      </w:r>
    </w:p>
    <w:tbl>
      <w:tblPr>
        <w:tblStyle w:val="TableGrid"/>
        <w:tblW w:type="auto" w:w="0"/>
        <w:jc w:val="center"/>
        <w:tblLook w:firstColumn="1" w:firstRow="1" w:lastColumn="0" w:lastRow="0" w:noHBand="0" w:noVBand="1" w:val="04A0"/>
      </w:tblPr>
      <w:tblGrid>
        <w:gridCol w:w="4997"/>
        <w:gridCol w:w="4997"/>
      </w:tblGrid>
      <w:tr>
        <w:trPr>
          <w:cantSplit/>
        </w:trPr>
        <w:tc>
          <w:tcPr>
            <w:tcW w:type="dxa" w:w="3312"/>
            <w:vAlign w:val="center"/>
            <w:shd w:fill="1B3A6B"/>
          </w:tcPr>
          <w:p>
            <w:pPr>
              <w:spacing w:after="0"/>
            </w:pPr>
            <w:r/>
            <w:r>
              <w:rPr>
                <w:rFonts w:ascii="Carlito" w:hAnsi="Carlito"/>
                <w:b/>
                <w:color w:val="FFFFFF"/>
                <w:sz w:val="18"/>
              </w:rPr>
              <w:t>Endpoint</w:t>
            </w:r>
          </w:p>
        </w:tc>
        <w:tc>
          <w:tcPr>
            <w:tcW w:type="dxa" w:w="6768"/>
            <w:vAlign w:val="center"/>
            <w:shd w:fill="1B3A6B"/>
          </w:tcPr>
          <w:p>
            <w:pPr>
              <w:spacing w:after="0"/>
            </w:pPr>
            <w:r/>
            <w:r>
              <w:rPr>
                <w:rFonts w:ascii="Carlito" w:hAnsi="Carlito"/>
                <w:b/>
                <w:color w:val="FFFFFF"/>
                <w:sz w:val="18"/>
              </w:rPr>
              <w:t>Minimum expected output</w:t>
            </w:r>
          </w:p>
        </w:tc>
      </w:tr>
      <w:tr>
        <w:trPr>
          <w:cantSplit/>
        </w:trPr>
        <w:tc>
          <w:tcPr>
            <w:tcW w:type="dxa" w:w="3312"/>
            <w:vAlign w:val="center"/>
          </w:tcPr>
          <w:p>
            <w:pPr>
              <w:spacing w:after="0"/>
            </w:pPr>
            <w:r/>
            <w:r>
              <w:rPr>
                <w:rFonts w:ascii="Carlito" w:hAnsi="Carlito"/>
                <w:b w:val="0"/>
                <w:color w:val="232323"/>
                <w:sz w:val="17"/>
              </w:rPr>
              <w:t>RBP group pattern</w:t>
            </w:r>
          </w:p>
        </w:tc>
        <w:tc>
          <w:tcPr>
            <w:tcW w:type="dxa" w:w="6768"/>
            <w:vAlign w:val="center"/>
          </w:tcPr>
          <w:p>
            <w:pPr>
              <w:spacing w:after="0"/>
            </w:pPr>
            <w:r/>
            <w:r>
              <w:rPr>
                <w:rFonts w:ascii="Carlito" w:hAnsi="Carlito"/>
                <w:b w:val="0"/>
                <w:color w:val="232323"/>
                <w:sz w:val="17"/>
              </w:rPr>
              <w:t>AD-CN scalp maps and effect sizes for each band</w:t>
            </w:r>
          </w:p>
        </w:tc>
      </w:tr>
      <w:tr>
        <w:trPr>
          <w:cantSplit/>
        </w:trPr>
        <w:tc>
          <w:tcPr>
            <w:tcW w:type="dxa" w:w="3312"/>
            <w:vAlign w:val="center"/>
            <w:shd w:fill="F4F6F8"/>
          </w:tcPr>
          <w:p>
            <w:pPr>
              <w:spacing w:after="0"/>
            </w:pPr>
            <w:r/>
            <w:r>
              <w:rPr>
                <w:rFonts w:ascii="Carlito" w:hAnsi="Carlito"/>
                <w:b w:val="0"/>
                <w:color w:val="232323"/>
                <w:sz w:val="17"/>
              </w:rPr>
              <w:t>SCC group pattern</w:t>
            </w:r>
          </w:p>
        </w:tc>
        <w:tc>
          <w:tcPr>
            <w:tcW w:type="dxa" w:w="6768"/>
            <w:vAlign w:val="center"/>
            <w:shd w:fill="F4F6F8"/>
          </w:tcPr>
          <w:p>
            <w:pPr>
              <w:spacing w:after="0"/>
            </w:pPr>
            <w:r/>
            <w:r>
              <w:rPr>
                <w:rFonts w:ascii="Carlito" w:hAnsi="Carlito"/>
                <w:b w:val="0"/>
                <w:color w:val="232323"/>
                <w:sz w:val="17"/>
              </w:rPr>
              <w:t>Band-specific connectivity matrices / channel summaries</w:t>
            </w:r>
          </w:p>
        </w:tc>
      </w:tr>
      <w:tr>
        <w:trPr>
          <w:cantSplit/>
        </w:trPr>
        <w:tc>
          <w:tcPr>
            <w:tcW w:type="dxa" w:w="3312"/>
            <w:vAlign w:val="center"/>
          </w:tcPr>
          <w:p>
            <w:pPr>
              <w:spacing w:after="0"/>
            </w:pPr>
            <w:r/>
            <w:r>
              <w:rPr>
                <w:rFonts w:ascii="Carlito" w:hAnsi="Carlito"/>
                <w:b w:val="0"/>
                <w:color w:val="232323"/>
                <w:sz w:val="17"/>
              </w:rPr>
              <w:t>Feature weighting sanity check</w:t>
            </w:r>
          </w:p>
        </w:tc>
        <w:tc>
          <w:tcPr>
            <w:tcW w:type="dxa" w:w="6768"/>
            <w:vAlign w:val="center"/>
          </w:tcPr>
          <w:p>
            <w:pPr>
              <w:spacing w:after="0"/>
            </w:pPr>
            <w:r/>
            <w:r>
              <w:rPr>
                <w:rFonts w:ascii="Carlito" w:hAnsi="Carlito"/>
                <w:b w:val="0"/>
                <w:color w:val="232323"/>
                <w:sz w:val="17"/>
              </w:rPr>
              <w:t>Compare spectral vs connectivity predictive contribution</w:t>
            </w:r>
          </w:p>
        </w:tc>
      </w:tr>
      <w:tr>
        <w:trPr>
          <w:cantSplit/>
        </w:trPr>
        <w:tc>
          <w:tcPr>
            <w:tcW w:type="dxa" w:w="3312"/>
            <w:vAlign w:val="center"/>
            <w:shd w:fill="F4F6F8"/>
          </w:tcPr>
          <w:p>
            <w:pPr>
              <w:spacing w:after="0"/>
            </w:pPr>
            <w:r/>
            <w:r>
              <w:rPr>
                <w:rFonts w:ascii="Carlito" w:hAnsi="Carlito"/>
                <w:b w:val="0"/>
                <w:color w:val="232323"/>
                <w:sz w:val="17"/>
              </w:rPr>
              <w:t>DICE channel hypothesis</w:t>
            </w:r>
          </w:p>
        </w:tc>
        <w:tc>
          <w:tcPr>
            <w:tcW w:type="dxa" w:w="6768"/>
            <w:vAlign w:val="center"/>
            <w:shd w:fill="F4F6F8"/>
          </w:tcPr>
          <w:p>
            <w:pPr>
              <w:spacing w:after="0"/>
            </w:pPr>
            <w:r/>
            <w:r>
              <w:rPr>
                <w:rFonts w:ascii="Carlito" w:hAnsi="Carlito"/>
                <w:b w:val="0"/>
                <w:color w:val="232323"/>
                <w:sz w:val="17"/>
              </w:rPr>
              <w:t>Pre-specified check of T5, O1, O2, T4, F8 prominence for AD-CN</w:t>
            </w:r>
          </w:p>
        </w:tc>
      </w:tr>
      <w:tr>
        <w:trPr>
          <w:cantSplit/>
        </w:trPr>
        <w:tc>
          <w:tcPr>
            <w:tcW w:type="dxa" w:w="3312"/>
            <w:vAlign w:val="center"/>
          </w:tcPr>
          <w:p>
            <w:pPr>
              <w:spacing w:after="0"/>
            </w:pPr>
            <w:r/>
            <w:r>
              <w:rPr>
                <w:rFonts w:ascii="Carlito" w:hAnsi="Carlito"/>
                <w:b w:val="0"/>
                <w:color w:val="232323"/>
                <w:sz w:val="17"/>
              </w:rPr>
              <w:t>Model benchmark</w:t>
            </w:r>
          </w:p>
        </w:tc>
        <w:tc>
          <w:tcPr>
            <w:tcW w:type="dxa" w:w="6768"/>
            <w:vAlign w:val="center"/>
          </w:tcPr>
          <w:p>
            <w:pPr>
              <w:spacing w:after="0"/>
            </w:pPr>
            <w:r/>
            <w:r>
              <w:rPr>
                <w:rFonts w:ascii="Carlito" w:hAnsi="Carlito"/>
                <w:b w:val="0"/>
                <w:color w:val="232323"/>
                <w:sz w:val="17"/>
              </w:rPr>
              <w:t>LOSO subject-level AD-CN baseline using RBP, SCC, and RBP+SCC</w:t>
            </w:r>
          </w:p>
        </w:tc>
      </w:tr>
    </w:tbl>
    <w:p>
      <w:pPr>
        <w:spacing w:after="0"/>
      </w:pPr>
    </w:p>
    <w:tbl>
      <w:tblPr>
        <w:tblW w:type="auto" w:w="0"/>
        <w:jc w:val="center"/>
        <w:tblLook w:firstColumn="1" w:firstRow="1" w:lastColumn="0" w:lastRow="0" w:noHBand="0" w:noVBand="1" w:val="04A0"/>
      </w:tblPr>
      <w:tblGrid>
        <w:gridCol w:w="9994"/>
      </w:tblGrid>
      <w:tr>
        <w:trPr>
          <w:cantSplit/>
        </w:trPr>
        <w:tc>
          <w:tcPr>
            <w:tcW w:type="dxa" w:w="9994"/>
            <w:shd w:fill="EAF0F8"/>
          </w:tcPr>
          <w:p>
            <w:pPr>
              <w:spacing w:after="40"/>
            </w:pPr>
            <w:r>
              <w:rPr>
                <w:rFonts w:ascii="Carlito" w:hAnsi="Carlito"/>
                <w:b/>
                <w:color w:val="1B3A6B"/>
                <w:sz w:val="20"/>
              </w:rPr>
              <w:t xml:space="preserve">Replication criterion:  </w:t>
            </w:r>
            <w:r>
              <w:rPr>
                <w:rFonts w:ascii="Carlito" w:hAnsi="Carlito"/>
                <w:sz w:val="20"/>
              </w:rPr>
              <w:t>The goal is not to force 83.28% accuracy. A successful replication is a transparent implementation that produces directionally comparable biomarker patterns and a plausible subject-level baseline; differences are investigated rather than hidden.</w:t>
            </w:r>
          </w:p>
        </w:tc>
      </w:tr>
    </w:tbl>
    <w:p>
      <w:pPr>
        <w:spacing w:after="0"/>
      </w:pPr>
    </w:p>
    <w:p>
      <w:pPr>
        <w:pStyle w:val="Heading1"/>
        <w:keepNext/>
      </w:pPr>
      <w:r>
        <w:t>11. Spectral Biomarker Critique</w:t>
      </w:r>
    </w:p>
    <w:p>
      <w:pPr>
        <w:pStyle w:val="Heading2"/>
        <w:keepNext/>
      </w:pPr>
      <w:r>
        <w:t>11.1 Critique A - fixed bands vs individual alpha frequency</w:t>
      </w:r>
    </w:p>
    <w:p>
      <w:pPr>
        <w:spacing w:after="110"/>
      </w:pPr>
      <w:r>
        <w:rPr>
          <w:rFonts w:ascii="Carlito" w:hAnsi="Carlito"/>
          <w:i w:val="0"/>
          <w:sz w:val="20"/>
        </w:rPr>
        <w:t>Conventional fixed bands can be misleading when peak alpha frequency shifts. IAF itself is clinically relevant in dementia and has been associated with amyloid/neurodegenerative status and progression in larger cohorts [6]. Work on aging also shows that fixed alpha ranges can be biased when IAF slows [9].</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2160"/>
            <w:vAlign w:val="center"/>
            <w:shd w:fill="1B3A6B"/>
          </w:tcPr>
          <w:p>
            <w:pPr>
              <w:spacing w:after="0"/>
            </w:pPr>
            <w:r/>
            <w:r>
              <w:rPr>
                <w:rFonts w:ascii="Carlito" w:hAnsi="Carlito"/>
                <w:b/>
                <w:color w:val="FFFFFF"/>
                <w:sz w:val="18"/>
              </w:rPr>
              <w:t>Method</w:t>
            </w:r>
          </w:p>
        </w:tc>
        <w:tc>
          <w:tcPr>
            <w:tcW w:type="dxa" w:w="4536"/>
            <w:vAlign w:val="center"/>
            <w:shd w:fill="1B3A6B"/>
          </w:tcPr>
          <w:p>
            <w:pPr>
              <w:spacing w:after="0"/>
            </w:pPr>
            <w:r/>
            <w:r>
              <w:rPr>
                <w:rFonts w:ascii="Carlito" w:hAnsi="Carlito"/>
                <w:b/>
                <w:color w:val="FFFFFF"/>
                <w:sz w:val="18"/>
              </w:rPr>
              <w:t>Feature set</w:t>
            </w:r>
          </w:p>
        </w:tc>
        <w:tc>
          <w:tcPr>
            <w:tcW w:type="dxa" w:w="3384"/>
            <w:vAlign w:val="center"/>
            <w:shd w:fill="1B3A6B"/>
          </w:tcPr>
          <w:p>
            <w:pPr>
              <w:spacing w:after="0"/>
            </w:pPr>
            <w:r/>
            <w:r>
              <w:rPr>
                <w:rFonts w:ascii="Carlito" w:hAnsi="Carlito"/>
                <w:b/>
                <w:color w:val="FFFFFF"/>
                <w:sz w:val="18"/>
              </w:rPr>
              <w:t>Question</w:t>
            </w:r>
          </w:p>
        </w:tc>
      </w:tr>
      <w:tr>
        <w:trPr>
          <w:cantSplit/>
        </w:trPr>
        <w:tc>
          <w:tcPr>
            <w:tcW w:type="dxa" w:w="2160"/>
            <w:vAlign w:val="center"/>
          </w:tcPr>
          <w:p>
            <w:pPr>
              <w:spacing w:after="0"/>
            </w:pPr>
            <w:r/>
            <w:r>
              <w:rPr>
                <w:rFonts w:ascii="Carlito" w:hAnsi="Carlito"/>
                <w:b w:val="0"/>
                <w:color w:val="232323"/>
                <w:sz w:val="17"/>
              </w:rPr>
              <w:t>A. DICE fixed bands</w:t>
            </w:r>
          </w:p>
        </w:tc>
        <w:tc>
          <w:tcPr>
            <w:tcW w:type="dxa" w:w="4536"/>
            <w:vAlign w:val="center"/>
          </w:tcPr>
          <w:p>
            <w:pPr>
              <w:spacing w:after="0"/>
            </w:pPr>
            <w:r/>
            <w:r>
              <w:rPr>
                <w:rFonts w:ascii="Carlito" w:hAnsi="Carlito"/>
                <w:b w:val="0"/>
                <w:color w:val="232323"/>
                <w:sz w:val="17"/>
              </w:rPr>
              <w:t>RBP delta/theta/alpha/beta/gamma</w:t>
            </w:r>
          </w:p>
        </w:tc>
        <w:tc>
          <w:tcPr>
            <w:tcW w:type="dxa" w:w="3384"/>
            <w:vAlign w:val="center"/>
          </w:tcPr>
          <w:p>
            <w:pPr>
              <w:spacing w:after="0"/>
            </w:pPr>
            <w:r/>
            <w:r>
              <w:rPr>
                <w:rFonts w:ascii="Carlito" w:hAnsi="Carlito"/>
                <w:b w:val="0"/>
                <w:color w:val="232323"/>
                <w:sz w:val="17"/>
              </w:rPr>
              <w:t>What does the original method report?</w:t>
            </w:r>
          </w:p>
        </w:tc>
      </w:tr>
      <w:tr>
        <w:trPr>
          <w:cantSplit/>
        </w:trPr>
        <w:tc>
          <w:tcPr>
            <w:tcW w:type="dxa" w:w="2160"/>
            <w:vAlign w:val="center"/>
            <w:shd w:fill="F4F6F8"/>
          </w:tcPr>
          <w:p>
            <w:pPr>
              <w:spacing w:after="0"/>
            </w:pPr>
            <w:r/>
            <w:r>
              <w:rPr>
                <w:rFonts w:ascii="Carlito" w:hAnsi="Carlito"/>
                <w:b w:val="0"/>
                <w:color w:val="232323"/>
                <w:sz w:val="17"/>
              </w:rPr>
              <w:t>B. IAF</w:t>
            </w:r>
          </w:p>
        </w:tc>
        <w:tc>
          <w:tcPr>
            <w:tcW w:type="dxa" w:w="4536"/>
            <w:vAlign w:val="center"/>
            <w:shd w:fill="F4F6F8"/>
          </w:tcPr>
          <w:p>
            <w:pPr>
              <w:spacing w:after="0"/>
            </w:pPr>
            <w:r/>
            <w:r>
              <w:rPr>
                <w:rFonts w:ascii="Carlito" w:hAnsi="Carlito"/>
                <w:b w:val="0"/>
                <w:color w:val="232323"/>
                <w:sz w:val="17"/>
              </w:rPr>
              <w:t>Peak frequency in posterior/global spectrum</w:t>
            </w:r>
          </w:p>
        </w:tc>
        <w:tc>
          <w:tcPr>
            <w:tcW w:type="dxa" w:w="3384"/>
            <w:vAlign w:val="center"/>
            <w:shd w:fill="F4F6F8"/>
          </w:tcPr>
          <w:p>
            <w:pPr>
              <w:spacing w:after="0"/>
            </w:pPr>
            <w:r/>
            <w:r>
              <w:rPr>
                <w:rFonts w:ascii="Carlito" w:hAnsi="Carlito"/>
                <w:b w:val="0"/>
                <w:color w:val="232323"/>
                <w:sz w:val="17"/>
              </w:rPr>
              <w:t>Does alpha slowing explain part of the RBP shift?</w:t>
            </w:r>
          </w:p>
        </w:tc>
      </w:tr>
      <w:tr>
        <w:trPr>
          <w:cantSplit/>
        </w:trPr>
        <w:tc>
          <w:tcPr>
            <w:tcW w:type="dxa" w:w="2160"/>
            <w:vAlign w:val="center"/>
          </w:tcPr>
          <w:p>
            <w:pPr>
              <w:spacing w:after="0"/>
            </w:pPr>
            <w:r/>
            <w:r>
              <w:rPr>
                <w:rFonts w:ascii="Carlito" w:hAnsi="Carlito"/>
                <w:b w:val="0"/>
                <w:color w:val="232323"/>
                <w:sz w:val="17"/>
              </w:rPr>
              <w:t>C. Individualized bands</w:t>
            </w:r>
          </w:p>
        </w:tc>
        <w:tc>
          <w:tcPr>
            <w:tcW w:type="dxa" w:w="4536"/>
            <w:vAlign w:val="center"/>
          </w:tcPr>
          <w:p>
            <w:pPr>
              <w:spacing w:after="0"/>
            </w:pPr>
            <w:r/>
            <w:r>
              <w:rPr>
                <w:rFonts w:ascii="Carlito" w:hAnsi="Carlito"/>
                <w:b w:val="0"/>
                <w:color w:val="232323"/>
                <w:sz w:val="17"/>
              </w:rPr>
              <w:t>Bands positioned relative to each subject's IAF / transition frequency</w:t>
            </w:r>
          </w:p>
        </w:tc>
        <w:tc>
          <w:tcPr>
            <w:tcW w:type="dxa" w:w="3384"/>
            <w:vAlign w:val="center"/>
          </w:tcPr>
          <w:p>
            <w:pPr>
              <w:spacing w:after="0"/>
            </w:pPr>
            <w:r/>
            <w:r>
              <w:rPr>
                <w:rFonts w:ascii="Carlito" w:hAnsi="Carlito"/>
                <w:b w:val="0"/>
                <w:color w:val="232323"/>
                <w:sz w:val="17"/>
              </w:rPr>
              <w:t>Do group effects survive personalized boundaries?</w:t>
            </w:r>
          </w:p>
        </w:tc>
      </w:tr>
      <w:tr>
        <w:trPr>
          <w:cantSplit/>
        </w:trPr>
        <w:tc>
          <w:tcPr>
            <w:tcW w:type="dxa" w:w="2160"/>
            <w:vAlign w:val="center"/>
            <w:shd w:fill="F4F6F8"/>
          </w:tcPr>
          <w:p>
            <w:pPr>
              <w:spacing w:after="0"/>
            </w:pPr>
            <w:r/>
            <w:r>
              <w:rPr>
                <w:rFonts w:ascii="Carlito" w:hAnsi="Carlito"/>
                <w:b w:val="0"/>
                <w:color w:val="232323"/>
                <w:sz w:val="17"/>
              </w:rPr>
              <w:t>D. Peak features</w:t>
            </w:r>
          </w:p>
        </w:tc>
        <w:tc>
          <w:tcPr>
            <w:tcW w:type="dxa" w:w="4536"/>
            <w:vAlign w:val="center"/>
            <w:shd w:fill="F4F6F8"/>
          </w:tcPr>
          <w:p>
            <w:pPr>
              <w:spacing w:after="0"/>
            </w:pPr>
            <w:r/>
            <w:r>
              <w:rPr>
                <w:rFonts w:ascii="Carlito" w:hAnsi="Carlito"/>
                <w:b w:val="0"/>
                <w:color w:val="232323"/>
                <w:sz w:val="17"/>
              </w:rPr>
              <w:t>Peak center frequency, peak power, bandwidth</w:t>
            </w:r>
          </w:p>
        </w:tc>
        <w:tc>
          <w:tcPr>
            <w:tcW w:type="dxa" w:w="3384"/>
            <w:vAlign w:val="center"/>
            <w:shd w:fill="F4F6F8"/>
          </w:tcPr>
          <w:p>
            <w:pPr>
              <w:spacing w:after="0"/>
            </w:pPr>
            <w:r/>
            <w:r>
              <w:rPr>
                <w:rFonts w:ascii="Carlito" w:hAnsi="Carlito"/>
                <w:b w:val="0"/>
                <w:color w:val="232323"/>
                <w:sz w:val="17"/>
              </w:rPr>
              <w:t>Is the biological effect a peak shift, peak loss, or both?</w:t>
            </w:r>
          </w:p>
        </w:tc>
      </w:tr>
    </w:tbl>
    <w:p>
      <w:pPr>
        <w:spacing w:after="0"/>
      </w:pPr>
    </w:p>
    <w:p>
      <w:pPr>
        <w:pStyle w:val="Heading2"/>
        <w:keepNext/>
      </w:pPr>
      <w:r>
        <w:t>11.2 IAF estimation procedure</w:t>
      </w:r>
    </w:p>
    <w:p>
      <w:pPr>
        <w:pStyle w:val="ListNumber"/>
        <w:spacing w:after="40"/>
      </w:pPr>
      <w:r>
        <w:rPr>
          <w:rFonts w:ascii="Carlito" w:hAnsi="Carlito"/>
          <w:sz w:val="20"/>
        </w:rPr>
        <w:t>Compute clean subject-level PSD, initially emphasizing posterior electrodes (P3, Pz, P4, O1, O2) and also compute a global estimate.</w:t>
      </w:r>
    </w:p>
    <w:p>
      <w:pPr>
        <w:pStyle w:val="ListNumber"/>
        <w:spacing w:after="40"/>
      </w:pPr>
      <w:r>
        <w:rPr>
          <w:rFonts w:ascii="Carlito" w:hAnsi="Carlito"/>
          <w:sz w:val="20"/>
        </w:rPr>
        <w:t>Search a defensible alpha-peak range, e.g., 6-14 Hz, and require peak prominence above background.</w:t>
      </w:r>
    </w:p>
    <w:p>
      <w:pPr>
        <w:pStyle w:val="ListNumber"/>
        <w:spacing w:after="40"/>
      </w:pPr>
      <w:r>
        <w:rPr>
          <w:rFonts w:ascii="Carlito" w:hAnsi="Carlito"/>
          <w:sz w:val="20"/>
        </w:rPr>
        <w:t>If no reliable peak is detected, mark IAF as missing/unreliable rather than forcing a value.</w:t>
      </w:r>
    </w:p>
    <w:p>
      <w:pPr>
        <w:pStyle w:val="ListNumber"/>
        <w:spacing w:after="40"/>
      </w:pPr>
      <w:r>
        <w:rPr>
          <w:rFonts w:ascii="Carlito" w:hAnsi="Carlito"/>
          <w:sz w:val="20"/>
        </w:rPr>
        <w:t>Run sensitivity analyses for peak-detection thresholds and electrode regions.</w:t>
      </w:r>
    </w:p>
    <w:p>
      <w:pPr>
        <w:pStyle w:val="Heading2"/>
        <w:keepNext/>
      </w:pPr>
      <w:r>
        <w:t>11.3 Critique B - relative vs absolute power</w:t>
      </w:r>
    </w:p>
    <w:p>
      <w:pPr>
        <w:spacing w:after="110"/>
      </w:pPr>
      <w:r>
        <w:rPr>
          <w:rFonts w:ascii="Carlito" w:hAnsi="Carlito"/>
          <w:i w:val="0"/>
          <w:sz w:val="20"/>
        </w:rPr>
        <w:t>Relative power is compositional: if theta increases, alpha relative power may decrease even if absolute alpha is unchanged. Compare at minimum:</w:t>
      </w:r>
    </w:p>
    <w:p>
      <w:pPr>
        <w:pStyle w:val="ListBullet"/>
        <w:spacing w:after="40"/>
      </w:pPr>
      <w:r>
        <w:rPr>
          <w:rFonts w:ascii="Carlito" w:hAnsi="Carlito"/>
          <w:sz w:val="20"/>
        </w:rPr>
        <w:t>Log absolute band power.</w:t>
      </w:r>
    </w:p>
    <w:p>
      <w:pPr>
        <w:pStyle w:val="ListBullet"/>
        <w:spacing w:after="40"/>
      </w:pPr>
      <w:r>
        <w:rPr>
          <w:rFonts w:ascii="Carlito" w:hAnsi="Carlito"/>
          <w:sz w:val="20"/>
        </w:rPr>
        <w:t>Relative band power.</w:t>
      </w:r>
    </w:p>
    <w:p>
      <w:pPr>
        <w:pStyle w:val="ListBullet"/>
        <w:spacing w:after="40"/>
      </w:pPr>
      <w:r>
        <w:rPr>
          <w:rFonts w:ascii="Carlito" w:hAnsi="Carlito"/>
          <w:sz w:val="20"/>
        </w:rPr>
        <w:t>Band ratios such as theta/alpha, clearly acknowledging their numerator/denominator dependence.</w:t>
      </w:r>
    </w:p>
    <w:p>
      <w:pPr>
        <w:pStyle w:val="ListBullet"/>
        <w:spacing w:after="40"/>
      </w:pPr>
      <w:r>
        <w:rPr>
          <w:rFonts w:ascii="Carlito" w:hAnsi="Carlito"/>
          <w:sz w:val="20"/>
        </w:rPr>
        <w:t>Aperiodic-adjusted periodic peak power.</w:t>
      </w:r>
    </w:p>
    <w:p>
      <w:pPr>
        <w:pStyle w:val="Heading2"/>
        <w:keepNext/>
      </w:pPr>
      <w:r>
        <w:t>11.4 Critique C - periodic vs aperiodic spectral structure</w:t>
      </w:r>
    </w:p>
    <w:p>
      <w:pPr>
        <w:spacing w:after="110"/>
      </w:pPr>
      <w:r>
        <w:rPr>
          <w:rFonts w:ascii="Carlito" w:hAnsi="Carlito"/>
          <w:i w:val="0"/>
          <w:sz w:val="20"/>
        </w:rPr>
        <w:t>Parameterize power spectra using specparam or an equivalent validated implementation. Donoghue et al. showed that canonical narrowband power can conflate oscillatory peak changes with aperiodic offset/exponent changes [4].</w:t>
      </w:r>
    </w:p>
    <w:tbl>
      <w:tblPr>
        <w:tblStyle w:val="TableGrid"/>
        <w:tblW w:type="auto" w:w="0"/>
        <w:jc w:val="center"/>
        <w:tblLook w:firstColumn="1" w:firstRow="1" w:lastColumn="0" w:lastRow="0" w:noHBand="0" w:noVBand="1" w:val="04A0"/>
      </w:tblPr>
      <w:tblGrid>
        <w:gridCol w:w="4997"/>
        <w:gridCol w:w="4997"/>
      </w:tblGrid>
      <w:tr>
        <w:trPr>
          <w:cantSplit/>
        </w:trPr>
        <w:tc>
          <w:tcPr>
            <w:tcW w:type="dxa" w:w="2880"/>
            <w:vAlign w:val="center"/>
            <w:shd w:fill="1B3A6B"/>
          </w:tcPr>
          <w:p>
            <w:pPr>
              <w:spacing w:after="0"/>
            </w:pPr>
            <w:r/>
            <w:r>
              <w:rPr>
                <w:rFonts w:ascii="Carlito" w:hAnsi="Carlito"/>
                <w:b/>
                <w:color w:val="FFFFFF"/>
                <w:sz w:val="18"/>
              </w:rPr>
              <w:t>Component</w:t>
            </w:r>
          </w:p>
        </w:tc>
        <w:tc>
          <w:tcPr>
            <w:tcW w:type="dxa" w:w="7200"/>
            <w:vAlign w:val="center"/>
            <w:shd w:fill="1B3A6B"/>
          </w:tcPr>
          <w:p>
            <w:pPr>
              <w:spacing w:after="0"/>
            </w:pPr>
            <w:r/>
            <w:r>
              <w:rPr>
                <w:rFonts w:ascii="Carlito" w:hAnsi="Carlito"/>
                <w:b/>
                <w:color w:val="FFFFFF"/>
                <w:sz w:val="18"/>
              </w:rPr>
              <w:t>Features to extract</w:t>
            </w:r>
          </w:p>
        </w:tc>
      </w:tr>
      <w:tr>
        <w:trPr>
          <w:cantSplit/>
        </w:trPr>
        <w:tc>
          <w:tcPr>
            <w:tcW w:type="dxa" w:w="2880"/>
            <w:vAlign w:val="center"/>
          </w:tcPr>
          <w:p>
            <w:pPr>
              <w:spacing w:after="0"/>
            </w:pPr>
            <w:r/>
            <w:r>
              <w:rPr>
                <w:rFonts w:ascii="Carlito" w:hAnsi="Carlito"/>
                <w:b w:val="0"/>
                <w:color w:val="232323"/>
                <w:sz w:val="17"/>
              </w:rPr>
              <w:t>Aperiodic</w:t>
            </w:r>
          </w:p>
        </w:tc>
        <w:tc>
          <w:tcPr>
            <w:tcW w:type="dxa" w:w="7200"/>
            <w:vAlign w:val="center"/>
          </w:tcPr>
          <w:p>
            <w:pPr>
              <w:spacing w:after="0"/>
            </w:pPr>
            <w:r/>
            <w:r>
              <w:rPr>
                <w:rFonts w:ascii="Carlito" w:hAnsi="Carlito"/>
                <w:b w:val="0"/>
                <w:color w:val="232323"/>
                <w:sz w:val="17"/>
              </w:rPr>
              <w:t>Exponent, offset, model fit quality</w:t>
            </w:r>
          </w:p>
        </w:tc>
      </w:tr>
      <w:tr>
        <w:trPr>
          <w:cantSplit/>
        </w:trPr>
        <w:tc>
          <w:tcPr>
            <w:tcW w:type="dxa" w:w="2880"/>
            <w:vAlign w:val="center"/>
            <w:shd w:fill="F4F6F8"/>
          </w:tcPr>
          <w:p>
            <w:pPr>
              <w:spacing w:after="0"/>
            </w:pPr>
            <w:r/>
            <w:r>
              <w:rPr>
                <w:rFonts w:ascii="Carlito" w:hAnsi="Carlito"/>
                <w:b w:val="0"/>
                <w:color w:val="232323"/>
                <w:sz w:val="17"/>
              </w:rPr>
              <w:t>Periodic alpha</w:t>
            </w:r>
          </w:p>
        </w:tc>
        <w:tc>
          <w:tcPr>
            <w:tcW w:type="dxa" w:w="7200"/>
            <w:vAlign w:val="center"/>
            <w:shd w:fill="F4F6F8"/>
          </w:tcPr>
          <w:p>
            <w:pPr>
              <w:spacing w:after="0"/>
            </w:pPr>
            <w:r/>
            <w:r>
              <w:rPr>
                <w:rFonts w:ascii="Carlito" w:hAnsi="Carlito"/>
                <w:b w:val="0"/>
                <w:color w:val="232323"/>
                <w:sz w:val="17"/>
              </w:rPr>
              <w:t>Center frequency, peak power above aperiodic background, bandwidth</w:t>
            </w:r>
          </w:p>
        </w:tc>
      </w:tr>
      <w:tr>
        <w:trPr>
          <w:cantSplit/>
        </w:trPr>
        <w:tc>
          <w:tcPr>
            <w:tcW w:type="dxa" w:w="2880"/>
            <w:vAlign w:val="center"/>
          </w:tcPr>
          <w:p>
            <w:pPr>
              <w:spacing w:after="0"/>
            </w:pPr>
            <w:r/>
            <w:r>
              <w:rPr>
                <w:rFonts w:ascii="Carlito" w:hAnsi="Carlito"/>
                <w:b w:val="0"/>
                <w:color w:val="232323"/>
                <w:sz w:val="17"/>
              </w:rPr>
              <w:t>Other periodic peaks</w:t>
            </w:r>
          </w:p>
        </w:tc>
        <w:tc>
          <w:tcPr>
            <w:tcW w:type="dxa" w:w="7200"/>
            <w:vAlign w:val="center"/>
          </w:tcPr>
          <w:p>
            <w:pPr>
              <w:spacing w:after="0"/>
            </w:pPr>
            <w:r/>
            <w:r>
              <w:rPr>
                <w:rFonts w:ascii="Carlito" w:hAnsi="Carlito"/>
                <w:b w:val="0"/>
                <w:color w:val="232323"/>
                <w:sz w:val="17"/>
              </w:rPr>
              <w:t>Theta/beta peak parameters when reliably present</w:t>
            </w:r>
          </w:p>
        </w:tc>
      </w:tr>
      <w:tr>
        <w:trPr>
          <w:cantSplit/>
        </w:trPr>
        <w:tc>
          <w:tcPr>
            <w:tcW w:type="dxa" w:w="2880"/>
            <w:vAlign w:val="center"/>
            <w:shd w:fill="F4F6F8"/>
          </w:tcPr>
          <w:p>
            <w:pPr>
              <w:spacing w:after="0"/>
            </w:pPr>
            <w:r/>
            <w:r>
              <w:rPr>
                <w:rFonts w:ascii="Carlito" w:hAnsi="Carlito"/>
                <w:b w:val="0"/>
                <w:color w:val="232323"/>
                <w:sz w:val="17"/>
              </w:rPr>
              <w:t>QC</w:t>
            </w:r>
          </w:p>
        </w:tc>
        <w:tc>
          <w:tcPr>
            <w:tcW w:type="dxa" w:w="7200"/>
            <w:vAlign w:val="center"/>
            <w:shd w:fill="F4F6F8"/>
          </w:tcPr>
          <w:p>
            <w:pPr>
              <w:spacing w:after="0"/>
            </w:pPr>
            <w:r/>
            <w:r>
              <w:rPr>
                <w:rFonts w:ascii="Carlito" w:hAnsi="Carlito"/>
                <w:b w:val="0"/>
                <w:color w:val="232323"/>
                <w:sz w:val="17"/>
              </w:rPr>
              <w:t>R^2 / error; number of detected peaks; failed fits</w:t>
            </w:r>
          </w:p>
        </w:tc>
      </w:tr>
    </w:tbl>
    <w:p>
      <w:pPr>
        <w:spacing w:after="0"/>
      </w:pPr>
    </w:p>
    <w:p>
      <w:pPr>
        <w:pStyle w:val="Heading2"/>
        <w:keepNext/>
      </w:pPr>
      <w:r>
        <w:t>11.5 Key spectral decision questions</w:t>
      </w:r>
    </w:p>
    <w:p>
      <w:pPr>
        <w:pStyle w:val="ListBullet"/>
        <w:spacing w:after="40"/>
      </w:pPr>
      <w:r>
        <w:rPr>
          <w:rFonts w:ascii="Carlito" w:hAnsi="Carlito"/>
          <w:sz w:val="20"/>
        </w:rPr>
        <w:t>Does AD-CN theta elevation remain after IAF adjustment?</w:t>
      </w:r>
    </w:p>
    <w:p>
      <w:pPr>
        <w:pStyle w:val="ListBullet"/>
        <w:spacing w:after="40"/>
      </w:pPr>
      <w:r>
        <w:rPr>
          <w:rFonts w:ascii="Carlito" w:hAnsi="Carlito"/>
          <w:sz w:val="20"/>
        </w:rPr>
        <w:t>Does apparent alpha reduction remain when peak power is measured above the aperiodic background?</w:t>
      </w:r>
    </w:p>
    <w:p>
      <w:pPr>
        <w:pStyle w:val="ListBullet"/>
        <w:spacing w:after="40"/>
      </w:pPr>
      <w:r>
        <w:rPr>
          <w:rFonts w:ascii="Carlito" w:hAnsi="Carlito"/>
          <w:sz w:val="20"/>
        </w:rPr>
        <w:t>Is aperiodic exponent different between groups in this dataset, and is that effect stable across electrodes?</w:t>
      </w:r>
    </w:p>
    <w:p>
      <w:pPr>
        <w:pStyle w:val="ListBullet"/>
        <w:spacing w:after="40"/>
      </w:pPr>
      <w:r>
        <w:rPr>
          <w:rFonts w:ascii="Carlito" w:hAnsi="Carlito"/>
          <w:sz w:val="20"/>
        </w:rPr>
        <w:t>Which corrected features distinguish AD from FTD, not only AD from CN?</w:t>
      </w:r>
    </w:p>
    <w:p>
      <w:pPr>
        <w:pStyle w:val="ListBullet"/>
        <w:spacing w:after="40"/>
      </w:pPr>
      <w:r>
        <w:rPr>
          <w:rFonts w:ascii="Carlito" w:hAnsi="Carlito"/>
          <w:sz w:val="20"/>
        </w:rPr>
        <w:t>Which spectral features correlate with MMSE among patients after controlling for diagnosis/age where appropriate?</w:t>
      </w:r>
    </w:p>
    <w:p>
      <w:pPr>
        <w:pStyle w:val="Heading1"/>
        <w:keepNext/>
      </w:pPr>
      <w:r>
        <w:t>12. Connectivity Biomarker Critique</w:t>
      </w:r>
    </w:p>
    <w:p>
      <w:pPr>
        <w:pStyle w:val="Heading2"/>
        <w:keepNext/>
      </w:pPr>
      <w:r>
        <w:t>12.1 Why coherence needs a stress test</w:t>
      </w:r>
    </w:p>
    <w:p>
      <w:pPr>
        <w:spacing w:after="110"/>
      </w:pPr>
      <w:r>
        <w:rPr>
          <w:rFonts w:ascii="Carlito" w:hAnsi="Carlito"/>
          <w:i w:val="0"/>
          <w:sz w:val="20"/>
        </w:rPr>
        <w:t>Magnitude coherence can be spuriously elevated when the same source projects to multiple sensors. Vinck et al. explicitly discuss volume-conduction effects on coherence/phase-locking and introduce wPLI to improve robustness to these issues [5]. Therefore SCC should be treated as one connectivity estimator, not as ground truth connectivity.</w:t>
      </w:r>
    </w:p>
    <w:p>
      <w:pPr>
        <w:pStyle w:val="Heading2"/>
        <w:keepNext/>
      </w:pPr>
      <w:r>
        <w:t>12.2 Connectivity estimators</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2448"/>
            <w:vAlign w:val="center"/>
            <w:shd w:fill="1B3A6B"/>
          </w:tcPr>
          <w:p>
            <w:pPr>
              <w:spacing w:after="0"/>
            </w:pPr>
            <w:r/>
            <w:r>
              <w:rPr>
                <w:rFonts w:ascii="Carlito" w:hAnsi="Carlito"/>
                <w:b/>
                <w:color w:val="FFFFFF"/>
                <w:sz w:val="18"/>
              </w:rPr>
              <w:t>Estimator</w:t>
            </w:r>
          </w:p>
        </w:tc>
        <w:tc>
          <w:tcPr>
            <w:tcW w:type="dxa" w:w="4320"/>
            <w:vAlign w:val="center"/>
            <w:shd w:fill="1B3A6B"/>
          </w:tcPr>
          <w:p>
            <w:pPr>
              <w:spacing w:after="0"/>
            </w:pPr>
            <w:r/>
            <w:r>
              <w:rPr>
                <w:rFonts w:ascii="Carlito" w:hAnsi="Carlito"/>
                <w:b/>
                <w:color w:val="FFFFFF"/>
                <w:sz w:val="18"/>
              </w:rPr>
              <w:t>Role in project</w:t>
            </w:r>
          </w:p>
        </w:tc>
        <w:tc>
          <w:tcPr>
            <w:tcW w:type="dxa" w:w="3312"/>
            <w:vAlign w:val="center"/>
            <w:shd w:fill="1B3A6B"/>
          </w:tcPr>
          <w:p>
            <w:pPr>
              <w:spacing w:after="0"/>
            </w:pPr>
            <w:r/>
            <w:r>
              <w:rPr>
                <w:rFonts w:ascii="Carlito" w:hAnsi="Carlito"/>
                <w:b/>
                <w:color w:val="FFFFFF"/>
                <w:sz w:val="18"/>
              </w:rPr>
              <w:t>Main caution</w:t>
            </w:r>
          </w:p>
        </w:tc>
      </w:tr>
      <w:tr>
        <w:trPr>
          <w:cantSplit/>
        </w:trPr>
        <w:tc>
          <w:tcPr>
            <w:tcW w:type="dxa" w:w="2448"/>
            <w:vAlign w:val="center"/>
          </w:tcPr>
          <w:p>
            <w:pPr>
              <w:spacing w:after="0"/>
            </w:pPr>
            <w:r/>
            <w:r>
              <w:rPr>
                <w:rFonts w:ascii="Carlito" w:hAnsi="Carlito"/>
                <w:b w:val="0"/>
                <w:color w:val="232323"/>
                <w:sz w:val="17"/>
              </w:rPr>
              <w:t>SCC / magnitude coherence</w:t>
            </w:r>
          </w:p>
        </w:tc>
        <w:tc>
          <w:tcPr>
            <w:tcW w:type="dxa" w:w="4320"/>
            <w:vAlign w:val="center"/>
          </w:tcPr>
          <w:p>
            <w:pPr>
              <w:spacing w:after="0"/>
            </w:pPr>
            <w:r/>
            <w:r>
              <w:rPr>
                <w:rFonts w:ascii="Carlito" w:hAnsi="Carlito"/>
                <w:b w:val="0"/>
                <w:color w:val="232323"/>
                <w:sz w:val="17"/>
              </w:rPr>
              <w:t>Strict DICE replication</w:t>
            </w:r>
          </w:p>
        </w:tc>
        <w:tc>
          <w:tcPr>
            <w:tcW w:type="dxa" w:w="3312"/>
            <w:vAlign w:val="center"/>
          </w:tcPr>
          <w:p>
            <w:pPr>
              <w:spacing w:after="0"/>
            </w:pPr>
            <w:r/>
            <w:r>
              <w:rPr>
                <w:rFonts w:ascii="Carlito" w:hAnsi="Carlito"/>
                <w:b w:val="0"/>
                <w:color w:val="232323"/>
                <w:sz w:val="17"/>
              </w:rPr>
              <w:t>Sensitive to common/zero-lag sources</w:t>
            </w:r>
          </w:p>
        </w:tc>
      </w:tr>
      <w:tr>
        <w:trPr>
          <w:cantSplit/>
        </w:trPr>
        <w:tc>
          <w:tcPr>
            <w:tcW w:type="dxa" w:w="2448"/>
            <w:vAlign w:val="center"/>
            <w:shd w:fill="F4F6F8"/>
          </w:tcPr>
          <w:p>
            <w:pPr>
              <w:spacing w:after="0"/>
            </w:pPr>
            <w:r/>
            <w:r>
              <w:rPr>
                <w:rFonts w:ascii="Carlito" w:hAnsi="Carlito"/>
                <w:b w:val="0"/>
                <w:color w:val="232323"/>
                <w:sz w:val="17"/>
              </w:rPr>
              <w:t>Imaginary coherence</w:t>
            </w:r>
          </w:p>
        </w:tc>
        <w:tc>
          <w:tcPr>
            <w:tcW w:type="dxa" w:w="4320"/>
            <w:vAlign w:val="center"/>
            <w:shd w:fill="F4F6F8"/>
          </w:tcPr>
          <w:p>
            <w:pPr>
              <w:spacing w:after="0"/>
            </w:pPr>
            <w:r/>
            <w:r>
              <w:rPr>
                <w:rFonts w:ascii="Carlito" w:hAnsi="Carlito"/>
                <w:b w:val="0"/>
                <w:color w:val="232323"/>
                <w:sz w:val="17"/>
              </w:rPr>
              <w:t>Conservative alternative</w:t>
            </w:r>
          </w:p>
        </w:tc>
        <w:tc>
          <w:tcPr>
            <w:tcW w:type="dxa" w:w="3312"/>
            <w:vAlign w:val="center"/>
            <w:shd w:fill="F4F6F8"/>
          </w:tcPr>
          <w:p>
            <w:pPr>
              <w:spacing w:after="0"/>
            </w:pPr>
            <w:r/>
            <w:r>
              <w:rPr>
                <w:rFonts w:ascii="Carlito" w:hAnsi="Carlito"/>
                <w:b w:val="0"/>
                <w:color w:val="232323"/>
                <w:sz w:val="17"/>
              </w:rPr>
              <w:t>Ignores zero-lag interactions, including potentially real ones</w:t>
            </w:r>
          </w:p>
        </w:tc>
      </w:tr>
      <w:tr>
        <w:trPr>
          <w:cantSplit/>
        </w:trPr>
        <w:tc>
          <w:tcPr>
            <w:tcW w:type="dxa" w:w="2448"/>
            <w:vAlign w:val="center"/>
          </w:tcPr>
          <w:p>
            <w:pPr>
              <w:spacing w:after="0"/>
            </w:pPr>
            <w:r/>
            <w:r>
              <w:rPr>
                <w:rFonts w:ascii="Carlito" w:hAnsi="Carlito"/>
                <w:b w:val="0"/>
                <w:color w:val="232323"/>
                <w:sz w:val="17"/>
              </w:rPr>
              <w:t>wPLI</w:t>
            </w:r>
          </w:p>
        </w:tc>
        <w:tc>
          <w:tcPr>
            <w:tcW w:type="dxa" w:w="4320"/>
            <w:vAlign w:val="center"/>
          </w:tcPr>
          <w:p>
            <w:pPr>
              <w:spacing w:after="0"/>
            </w:pPr>
            <w:r/>
            <w:r>
              <w:rPr>
                <w:rFonts w:ascii="Carlito" w:hAnsi="Carlito"/>
                <w:b w:val="0"/>
                <w:color w:val="232323"/>
                <w:sz w:val="17"/>
              </w:rPr>
              <w:t>Primary alternative phase-lag measure</w:t>
            </w:r>
          </w:p>
        </w:tc>
        <w:tc>
          <w:tcPr>
            <w:tcW w:type="dxa" w:w="3312"/>
            <w:vAlign w:val="center"/>
          </w:tcPr>
          <w:p>
            <w:pPr>
              <w:spacing w:after="0"/>
            </w:pPr>
            <w:r/>
            <w:r>
              <w:rPr>
                <w:rFonts w:ascii="Carlito" w:hAnsi="Carlito"/>
                <w:b w:val="0"/>
                <w:color w:val="232323"/>
                <w:sz w:val="17"/>
              </w:rPr>
              <w:t>Needs adequate sample length; can be noisy</w:t>
            </w:r>
          </w:p>
        </w:tc>
      </w:tr>
      <w:tr>
        <w:trPr>
          <w:cantSplit/>
        </w:trPr>
        <w:tc>
          <w:tcPr>
            <w:tcW w:type="dxa" w:w="2448"/>
            <w:vAlign w:val="center"/>
            <w:shd w:fill="F4F6F8"/>
          </w:tcPr>
          <w:p>
            <w:pPr>
              <w:spacing w:after="0"/>
            </w:pPr>
            <w:r/>
            <w:r>
              <w:rPr>
                <w:rFonts w:ascii="Carlito" w:hAnsi="Carlito"/>
                <w:b w:val="0"/>
                <w:color w:val="232323"/>
                <w:sz w:val="17"/>
              </w:rPr>
              <w:t>Debiased squared wPLI</w:t>
            </w:r>
          </w:p>
        </w:tc>
        <w:tc>
          <w:tcPr>
            <w:tcW w:type="dxa" w:w="4320"/>
            <w:vAlign w:val="center"/>
            <w:shd w:fill="F4F6F8"/>
          </w:tcPr>
          <w:p>
            <w:pPr>
              <w:spacing w:after="0"/>
            </w:pPr>
            <w:r/>
            <w:r>
              <w:rPr>
                <w:rFonts w:ascii="Carlito" w:hAnsi="Carlito"/>
                <w:b w:val="0"/>
                <w:color w:val="232323"/>
                <w:sz w:val="17"/>
              </w:rPr>
              <w:t>Bias-reduced sensitivity analysis</w:t>
            </w:r>
          </w:p>
        </w:tc>
        <w:tc>
          <w:tcPr>
            <w:tcW w:type="dxa" w:w="3312"/>
            <w:vAlign w:val="center"/>
            <w:shd w:fill="F4F6F8"/>
          </w:tcPr>
          <w:p>
            <w:pPr>
              <w:spacing w:after="0"/>
            </w:pPr>
            <w:r/>
            <w:r>
              <w:rPr>
                <w:rFonts w:ascii="Carlito" w:hAnsi="Carlito"/>
                <w:b w:val="0"/>
                <w:color w:val="232323"/>
                <w:sz w:val="17"/>
              </w:rPr>
              <w:t>Interpretation differs from raw wPLI</w:t>
            </w:r>
          </w:p>
        </w:tc>
      </w:tr>
    </w:tbl>
    <w:p>
      <w:pPr>
        <w:spacing w:after="0"/>
      </w:pPr>
    </w:p>
    <w:p>
      <w:pPr>
        <w:pStyle w:val="Heading2"/>
        <w:keepNext/>
      </w:pPr>
      <w:r>
        <w:t>12.3 Analysis levels</w:t>
      </w:r>
    </w:p>
    <w:p>
      <w:pPr>
        <w:pStyle w:val="ListBullet"/>
        <w:spacing w:after="40"/>
      </w:pPr>
      <w:r>
        <w:rPr>
          <w:rFonts w:ascii="Carlito" w:hAnsi="Carlito"/>
          <w:sz w:val="20"/>
        </w:rPr>
        <w:t>Pairwise matrices: retain full 19 x 19 connectivity to inspect topology.</w:t>
      </w:r>
    </w:p>
    <w:p>
      <w:pPr>
        <w:pStyle w:val="ListBullet"/>
        <w:spacing w:after="40"/>
      </w:pPr>
      <w:r>
        <w:rPr>
          <w:rFonts w:ascii="Carlito" w:hAnsi="Carlito"/>
          <w:sz w:val="20"/>
        </w:rPr>
        <w:t>Per-electrode summary: mean connectivity from each electrode to all other electrodes for direct comparison with DICE-style inputs.</w:t>
      </w:r>
    </w:p>
    <w:p>
      <w:pPr>
        <w:pStyle w:val="ListBullet"/>
        <w:spacing w:after="40"/>
      </w:pPr>
      <w:r>
        <w:rPr>
          <w:rFonts w:ascii="Carlito" w:hAnsi="Carlito"/>
          <w:sz w:val="20"/>
        </w:rPr>
        <w:t>Regional summary: predefined frontal, temporal, central, parietal, occipital groupings for lower-dimensional statistical interpretation.</w:t>
      </w:r>
    </w:p>
    <w:p>
      <w:pPr>
        <w:pStyle w:val="Heading2"/>
        <w:keepNext/>
      </w:pPr>
      <w:r>
        <w:t>12.4 Reference sensitivity</w:t>
      </w:r>
    </w:p>
    <w:p>
      <w:pPr>
        <w:spacing w:after="110"/>
      </w:pPr>
      <w:r>
        <w:rPr>
          <w:rFonts w:ascii="Carlito" w:hAnsi="Carlito"/>
          <w:i w:val="0"/>
          <w:sz w:val="20"/>
        </w:rPr>
        <w:t>Repeat a selected subset of connectivity analyses under at least two reference schemes when technically feasible: the distributed derivative reference and common-average reference. Do not interpret large reference-dependent changes as robust physiological connectivity.</w:t>
      </w:r>
    </w:p>
    <w:p>
      <w:pPr>
        <w:pStyle w:val="Heading2"/>
        <w:keepNext/>
      </w:pPr>
      <w:r>
        <w:t>12.5 Primary connectivity critique</w:t>
      </w:r>
    </w:p>
    <w:p>
      <w:pPr>
        <w:spacing w:after="110"/>
      </w:pPr>
      <w:r>
        <w:rPr>
          <w:rFonts w:ascii="Carlito" w:hAnsi="Carlito"/>
          <w:i w:val="0"/>
          <w:sz w:val="20"/>
        </w:rPr>
        <w:t>For every DICE SCC finding, ask whether the direction and effect size remain with wPLI and/or imaginary coherence. A biomarker that exists only in magnitude coherence should be labeled method-sensitive. A feature that remains directionally consistent across estimators is stronger evidence of a robust network-level signal.</w:t>
      </w:r>
    </w:p>
    <w:p>
      <w:pPr>
        <w:pStyle w:val="Heading1"/>
        <w:keepNext/>
      </w:pPr>
      <w:r>
        <w:t>13. Disease Specificity and Clinical Relevance</w:t>
      </w:r>
    </w:p>
    <w:p>
      <w:pPr>
        <w:pStyle w:val="Heading2"/>
        <w:keepNext/>
      </w:pPr>
      <w:r>
        <w:t>13.1 Three required diagnostic contrasts</w:t>
      </w:r>
    </w:p>
    <w:tbl>
      <w:tblPr>
        <w:tblStyle w:val="TableGrid"/>
        <w:tblW w:type="auto" w:w="0"/>
        <w:jc w:val="center"/>
        <w:tblLook w:firstColumn="1" w:firstRow="1" w:lastColumn="0" w:lastRow="0" w:noHBand="0" w:noVBand="1" w:val="04A0"/>
      </w:tblPr>
      <w:tblGrid>
        <w:gridCol w:w="4997"/>
        <w:gridCol w:w="4997"/>
      </w:tblGrid>
      <w:tr>
        <w:trPr>
          <w:cantSplit/>
        </w:trPr>
        <w:tc>
          <w:tcPr>
            <w:tcW w:type="dxa" w:w="3168"/>
            <w:vAlign w:val="center"/>
            <w:shd w:fill="1B3A6B"/>
          </w:tcPr>
          <w:p>
            <w:pPr>
              <w:spacing w:after="0"/>
            </w:pPr>
            <w:r/>
            <w:r>
              <w:rPr>
                <w:rFonts w:ascii="Carlito" w:hAnsi="Carlito"/>
                <w:b/>
                <w:color w:val="FFFFFF"/>
                <w:sz w:val="18"/>
              </w:rPr>
              <w:t>Contrast</w:t>
            </w:r>
          </w:p>
        </w:tc>
        <w:tc>
          <w:tcPr>
            <w:tcW w:type="dxa" w:w="6912"/>
            <w:vAlign w:val="center"/>
            <w:shd w:fill="1B3A6B"/>
          </w:tcPr>
          <w:p>
            <w:pPr>
              <w:spacing w:after="0"/>
            </w:pPr>
            <w:r/>
            <w:r>
              <w:rPr>
                <w:rFonts w:ascii="Carlito" w:hAnsi="Carlito"/>
                <w:b/>
                <w:color w:val="FFFFFF"/>
                <w:sz w:val="18"/>
              </w:rPr>
              <w:t>Interpretation</w:t>
            </w:r>
          </w:p>
        </w:tc>
      </w:tr>
      <w:tr>
        <w:trPr>
          <w:cantSplit/>
        </w:trPr>
        <w:tc>
          <w:tcPr>
            <w:tcW w:type="dxa" w:w="3168"/>
            <w:vAlign w:val="center"/>
          </w:tcPr>
          <w:p>
            <w:pPr>
              <w:spacing w:after="0"/>
            </w:pPr>
            <w:r/>
            <w:r>
              <w:rPr>
                <w:rFonts w:ascii="Carlito" w:hAnsi="Carlito"/>
                <w:b w:val="0"/>
                <w:color w:val="232323"/>
                <w:sz w:val="17"/>
              </w:rPr>
              <w:t>AD vs CN</w:t>
            </w:r>
          </w:p>
        </w:tc>
        <w:tc>
          <w:tcPr>
            <w:tcW w:type="dxa" w:w="6912"/>
            <w:vAlign w:val="center"/>
          </w:tcPr>
          <w:p>
            <w:pPr>
              <w:spacing w:after="0"/>
            </w:pPr>
            <w:r/>
            <w:r>
              <w:rPr>
                <w:rFonts w:ascii="Carlito" w:hAnsi="Carlito"/>
                <w:b w:val="0"/>
                <w:color w:val="232323"/>
                <w:sz w:val="17"/>
              </w:rPr>
              <w:t>Replicates the original Alzheimer-control setting</w:t>
            </w:r>
          </w:p>
        </w:tc>
      </w:tr>
      <w:tr>
        <w:trPr>
          <w:cantSplit/>
        </w:trPr>
        <w:tc>
          <w:tcPr>
            <w:tcW w:type="dxa" w:w="3168"/>
            <w:vAlign w:val="center"/>
            <w:shd w:fill="F4F6F8"/>
          </w:tcPr>
          <w:p>
            <w:pPr>
              <w:spacing w:after="0"/>
            </w:pPr>
            <w:r/>
            <w:r>
              <w:rPr>
                <w:rFonts w:ascii="Carlito" w:hAnsi="Carlito"/>
                <w:b w:val="0"/>
                <w:color w:val="232323"/>
                <w:sz w:val="17"/>
              </w:rPr>
              <w:t>FTD vs CN</w:t>
            </w:r>
          </w:p>
        </w:tc>
        <w:tc>
          <w:tcPr>
            <w:tcW w:type="dxa" w:w="6912"/>
            <w:vAlign w:val="center"/>
            <w:shd w:fill="F4F6F8"/>
          </w:tcPr>
          <w:p>
            <w:pPr>
              <w:spacing w:after="0"/>
            </w:pPr>
            <w:r/>
            <w:r>
              <w:rPr>
                <w:rFonts w:ascii="Carlito" w:hAnsi="Carlito"/>
                <w:b w:val="0"/>
                <w:color w:val="232323"/>
                <w:sz w:val="17"/>
              </w:rPr>
              <w:t>Tests whether the same biomarker is a generic dementia/neurodegeneration effect</w:t>
            </w:r>
          </w:p>
        </w:tc>
      </w:tr>
      <w:tr>
        <w:trPr>
          <w:cantSplit/>
        </w:trPr>
        <w:tc>
          <w:tcPr>
            <w:tcW w:type="dxa" w:w="3168"/>
            <w:vAlign w:val="center"/>
          </w:tcPr>
          <w:p>
            <w:pPr>
              <w:spacing w:after="0"/>
            </w:pPr>
            <w:r/>
            <w:r>
              <w:rPr>
                <w:rFonts w:ascii="Carlito" w:hAnsi="Carlito"/>
                <w:b w:val="0"/>
                <w:color w:val="232323"/>
                <w:sz w:val="17"/>
              </w:rPr>
              <w:t>AD vs FTD</w:t>
            </w:r>
          </w:p>
        </w:tc>
        <w:tc>
          <w:tcPr>
            <w:tcW w:type="dxa" w:w="6912"/>
            <w:vAlign w:val="center"/>
          </w:tcPr>
          <w:p>
            <w:pPr>
              <w:spacing w:after="0"/>
            </w:pPr>
            <w:r/>
            <w:r>
              <w:rPr>
                <w:rFonts w:ascii="Carlito" w:hAnsi="Carlito"/>
                <w:b w:val="0"/>
                <w:color w:val="232323"/>
                <w:sz w:val="17"/>
              </w:rPr>
              <w:t>Tests differential-diagnosis specificity</w:t>
            </w:r>
          </w:p>
        </w:tc>
      </w:tr>
    </w:tbl>
    <w:p>
      <w:pPr>
        <w:spacing w:after="0"/>
      </w:pPr>
    </w:p>
    <w:p>
      <w:pPr>
        <w:pStyle w:val="Heading2"/>
        <w:keepNext/>
      </w:pPr>
      <w:r>
        <w:t>13.2 Biomarker labels based on results</w:t>
      </w:r>
    </w:p>
    <w:tbl>
      <w:tblPr>
        <w:tblStyle w:val="TableGrid"/>
        <w:tblW w:type="auto" w:w="0"/>
        <w:jc w:val="center"/>
        <w:tblLook w:firstColumn="1" w:firstRow="1" w:lastColumn="0" w:lastRow="0" w:noHBand="0" w:noVBand="1" w:val="04A0"/>
      </w:tblPr>
      <w:tblGrid>
        <w:gridCol w:w="4997"/>
        <w:gridCol w:w="4997"/>
      </w:tblGrid>
      <w:tr>
        <w:trPr>
          <w:cantSplit/>
        </w:trPr>
        <w:tc>
          <w:tcPr>
            <w:tcW w:type="dxa" w:w="5040"/>
            <w:vAlign w:val="center"/>
            <w:shd w:fill="1B3A6B"/>
          </w:tcPr>
          <w:p>
            <w:pPr>
              <w:spacing w:after="0"/>
            </w:pPr>
            <w:r/>
            <w:r>
              <w:rPr>
                <w:rFonts w:ascii="Carlito" w:hAnsi="Carlito"/>
                <w:b/>
                <w:color w:val="FFFFFF"/>
                <w:sz w:val="18"/>
              </w:rPr>
              <w:t>Observed pattern</w:t>
            </w:r>
          </w:p>
        </w:tc>
        <w:tc>
          <w:tcPr>
            <w:tcW w:type="dxa" w:w="5040"/>
            <w:vAlign w:val="center"/>
            <w:shd w:fill="1B3A6B"/>
          </w:tcPr>
          <w:p>
            <w:pPr>
              <w:spacing w:after="0"/>
            </w:pPr>
            <w:r/>
            <w:r>
              <w:rPr>
                <w:rFonts w:ascii="Carlito" w:hAnsi="Carlito"/>
                <w:b/>
                <w:color w:val="FFFFFF"/>
                <w:sz w:val="18"/>
              </w:rPr>
              <w:t>Allowed interpretation</w:t>
            </w:r>
          </w:p>
        </w:tc>
      </w:tr>
      <w:tr>
        <w:trPr>
          <w:cantSplit/>
        </w:trPr>
        <w:tc>
          <w:tcPr>
            <w:tcW w:type="dxa" w:w="5040"/>
            <w:vAlign w:val="center"/>
          </w:tcPr>
          <w:p>
            <w:pPr>
              <w:spacing w:after="0"/>
            </w:pPr>
            <w:r/>
            <w:r>
              <w:rPr>
                <w:rFonts w:ascii="Carlito" w:hAnsi="Carlito"/>
                <w:b w:val="0"/>
                <w:color w:val="232323"/>
                <w:sz w:val="17"/>
              </w:rPr>
              <w:t>AD-CN significant; FTD-CN similar; AD-FTD weak</w:t>
            </w:r>
          </w:p>
        </w:tc>
        <w:tc>
          <w:tcPr>
            <w:tcW w:type="dxa" w:w="5040"/>
            <w:vAlign w:val="center"/>
          </w:tcPr>
          <w:p>
            <w:pPr>
              <w:spacing w:after="0"/>
            </w:pPr>
            <w:r/>
            <w:r>
              <w:rPr>
                <w:rFonts w:ascii="Carlito" w:hAnsi="Carlito"/>
                <w:b w:val="0"/>
                <w:color w:val="232323"/>
                <w:sz w:val="17"/>
              </w:rPr>
              <w:t>Dementia-associated / neurodegeneration-associated marker</w:t>
            </w:r>
          </w:p>
        </w:tc>
      </w:tr>
      <w:tr>
        <w:trPr>
          <w:cantSplit/>
        </w:trPr>
        <w:tc>
          <w:tcPr>
            <w:tcW w:type="dxa" w:w="5040"/>
            <w:vAlign w:val="center"/>
            <w:shd w:fill="F4F6F8"/>
          </w:tcPr>
          <w:p>
            <w:pPr>
              <w:spacing w:after="0"/>
            </w:pPr>
            <w:r/>
            <w:r>
              <w:rPr>
                <w:rFonts w:ascii="Carlito" w:hAnsi="Carlito"/>
                <w:b w:val="0"/>
                <w:color w:val="232323"/>
                <w:sz w:val="17"/>
              </w:rPr>
              <w:t>AD-CN strong; FTD-CN weak; AD-FTD strong</w:t>
            </w:r>
          </w:p>
        </w:tc>
        <w:tc>
          <w:tcPr>
            <w:tcW w:type="dxa" w:w="5040"/>
            <w:vAlign w:val="center"/>
            <w:shd w:fill="F4F6F8"/>
          </w:tcPr>
          <w:p>
            <w:pPr>
              <w:spacing w:after="0"/>
            </w:pPr>
            <w:r/>
            <w:r>
              <w:rPr>
                <w:rFonts w:ascii="Carlito" w:hAnsi="Carlito"/>
                <w:b w:val="0"/>
                <w:color w:val="232323"/>
                <w:sz w:val="17"/>
              </w:rPr>
              <w:t>Candidate AD-discriminative marker</w:t>
            </w:r>
          </w:p>
        </w:tc>
      </w:tr>
      <w:tr>
        <w:trPr>
          <w:cantSplit/>
        </w:trPr>
        <w:tc>
          <w:tcPr>
            <w:tcW w:type="dxa" w:w="5040"/>
            <w:vAlign w:val="center"/>
          </w:tcPr>
          <w:p>
            <w:pPr>
              <w:spacing w:after="0"/>
            </w:pPr>
            <w:r/>
            <w:r>
              <w:rPr>
                <w:rFonts w:ascii="Carlito" w:hAnsi="Carlito"/>
                <w:b w:val="0"/>
                <w:color w:val="232323"/>
                <w:sz w:val="17"/>
              </w:rPr>
              <w:t>AD-CN only under one method/reference</w:t>
            </w:r>
          </w:p>
        </w:tc>
        <w:tc>
          <w:tcPr>
            <w:tcW w:type="dxa" w:w="5040"/>
            <w:vAlign w:val="center"/>
          </w:tcPr>
          <w:p>
            <w:pPr>
              <w:spacing w:after="0"/>
            </w:pPr>
            <w:r/>
            <w:r>
              <w:rPr>
                <w:rFonts w:ascii="Carlito" w:hAnsi="Carlito"/>
                <w:b w:val="0"/>
                <w:color w:val="232323"/>
                <w:sz w:val="17"/>
              </w:rPr>
              <w:t>Method-sensitive marker</w:t>
            </w:r>
          </w:p>
        </w:tc>
      </w:tr>
      <w:tr>
        <w:trPr>
          <w:cantSplit/>
        </w:trPr>
        <w:tc>
          <w:tcPr>
            <w:tcW w:type="dxa" w:w="5040"/>
            <w:vAlign w:val="center"/>
            <w:shd w:fill="F4F6F8"/>
          </w:tcPr>
          <w:p>
            <w:pPr>
              <w:spacing w:after="0"/>
            </w:pPr>
            <w:r/>
            <w:r>
              <w:rPr>
                <w:rFonts w:ascii="Carlito" w:hAnsi="Carlito"/>
                <w:b w:val="0"/>
                <w:color w:val="232323"/>
                <w:sz w:val="17"/>
              </w:rPr>
              <w:t>Strong MMSE association across patient groups</w:t>
            </w:r>
          </w:p>
        </w:tc>
        <w:tc>
          <w:tcPr>
            <w:tcW w:type="dxa" w:w="5040"/>
            <w:vAlign w:val="center"/>
            <w:shd w:fill="F4F6F8"/>
          </w:tcPr>
          <w:p>
            <w:pPr>
              <w:spacing w:after="0"/>
            </w:pPr>
            <w:r/>
            <w:r>
              <w:rPr>
                <w:rFonts w:ascii="Carlito" w:hAnsi="Carlito"/>
                <w:b w:val="0"/>
                <w:color w:val="232323"/>
                <w:sz w:val="17"/>
              </w:rPr>
              <w:t>Candidate severity-associated marker</w:t>
            </w:r>
          </w:p>
        </w:tc>
      </w:tr>
      <w:tr>
        <w:trPr>
          <w:cantSplit/>
        </w:trPr>
        <w:tc>
          <w:tcPr>
            <w:tcW w:type="dxa" w:w="5040"/>
            <w:vAlign w:val="center"/>
          </w:tcPr>
          <w:p>
            <w:pPr>
              <w:spacing w:after="0"/>
            </w:pPr>
            <w:r/>
            <w:r>
              <w:rPr>
                <w:rFonts w:ascii="Carlito" w:hAnsi="Carlito"/>
                <w:b w:val="0"/>
                <w:color w:val="232323"/>
                <w:sz w:val="17"/>
              </w:rPr>
              <w:t>High ML importance but unstable univariate biology</w:t>
            </w:r>
          </w:p>
        </w:tc>
        <w:tc>
          <w:tcPr>
            <w:tcW w:type="dxa" w:w="5040"/>
            <w:vAlign w:val="center"/>
          </w:tcPr>
          <w:p>
            <w:pPr>
              <w:spacing w:after="0"/>
            </w:pPr>
            <w:r/>
            <w:r>
              <w:rPr>
                <w:rFonts w:ascii="Carlito" w:hAnsi="Carlito"/>
                <w:b w:val="0"/>
                <w:color w:val="232323"/>
                <w:sz w:val="17"/>
              </w:rPr>
              <w:t>Predictive feature; not automatically a biological biomarker</w:t>
            </w:r>
          </w:p>
        </w:tc>
      </w:tr>
    </w:tbl>
    <w:p>
      <w:pPr>
        <w:spacing w:after="0"/>
      </w:pPr>
    </w:p>
    <w:p>
      <w:pPr>
        <w:pStyle w:val="Heading2"/>
        <w:keepNext/>
      </w:pPr>
      <w:r>
        <w:t>13.3 MMSE analysis</w:t>
      </w:r>
    </w:p>
    <w:p>
      <w:pPr>
        <w:spacing w:after="110"/>
      </w:pPr>
      <w:r>
        <w:rPr>
          <w:rFonts w:ascii="Carlito" w:hAnsi="Carlito"/>
          <w:i w:val="0"/>
          <w:sz w:val="20"/>
        </w:rPr>
        <w:t>Because CN participants are at or near a ceiling MMSE of 30, an all-subject correlation can be driven primarily by diagnostic group separation. Therefore report:</w:t>
      </w:r>
    </w:p>
    <w:p>
      <w:pPr>
        <w:pStyle w:val="ListBullet"/>
        <w:spacing w:after="40"/>
      </w:pPr>
      <w:r>
        <w:rPr>
          <w:rFonts w:ascii="Carlito" w:hAnsi="Carlito"/>
          <w:sz w:val="20"/>
        </w:rPr>
        <w:t>All-subject correlation only as a descriptive analysis.</w:t>
      </w:r>
    </w:p>
    <w:p>
      <w:pPr>
        <w:pStyle w:val="ListBullet"/>
        <w:spacing w:after="40"/>
      </w:pPr>
      <w:r>
        <w:rPr>
          <w:rFonts w:ascii="Carlito" w:hAnsi="Carlito"/>
          <w:sz w:val="20"/>
        </w:rPr>
        <w:t>Primary clinical association among AD + FTD patients, optionally with diagnosis as a covariate.</w:t>
      </w:r>
    </w:p>
    <w:p>
      <w:pPr>
        <w:pStyle w:val="ListBullet"/>
        <w:spacing w:after="40"/>
      </w:pPr>
      <w:r>
        <w:rPr>
          <w:rFonts w:ascii="Carlito" w:hAnsi="Carlito"/>
          <w:sz w:val="20"/>
        </w:rPr>
        <w:t>Within-AD and within-FTD correlations when sample size and score range permit, with wide confidence intervals expected.</w:t>
      </w:r>
    </w:p>
    <w:p>
      <w:pPr>
        <w:pStyle w:val="Heading2"/>
        <w:keepNext/>
      </w:pPr>
      <w:r>
        <w:t>13.4 Confounder analysis</w:t>
      </w:r>
    </w:p>
    <w:p>
      <w:pPr>
        <w:spacing w:after="110"/>
      </w:pPr>
      <w:r>
        <w:rPr>
          <w:rFonts w:ascii="Carlito" w:hAnsi="Carlito"/>
          <w:i w:val="0"/>
          <w:sz w:val="20"/>
        </w:rPr>
        <w:t>For leading subject-level biomarkers, fit adjusted regression models including diagnosis, age, and sex. Disease duration can be explored within patient groups. Treat MMSE as an outcome/clinical correlate rather than automatically adjusting it away from diagnostic comparisons.</w:t>
      </w:r>
    </w:p>
    <w:p>
      <w:pPr>
        <w:pStyle w:val="Heading1"/>
        <w:keepNext/>
      </w:pPr>
      <w:r>
        <w:t>14. Statistical Analysis Plan</w:t>
      </w:r>
    </w:p>
    <w:p>
      <w:pPr>
        <w:pStyle w:val="Heading2"/>
        <w:keepNext/>
      </w:pPr>
      <w:r>
        <w:t>14.1 Unit of analysis</w:t>
      </w:r>
    </w:p>
    <w:tbl>
      <w:tblPr>
        <w:tblW w:type="auto" w:w="0"/>
        <w:jc w:val="center"/>
        <w:tblLook w:firstColumn="1" w:firstRow="1" w:lastColumn="0" w:lastRow="0" w:noHBand="0" w:noVBand="1" w:val="04A0"/>
      </w:tblPr>
      <w:tblGrid>
        <w:gridCol w:w="9994"/>
      </w:tblGrid>
      <w:tr>
        <w:trPr>
          <w:cantSplit/>
        </w:trPr>
        <w:tc>
          <w:tcPr>
            <w:tcW w:type="dxa" w:w="9994"/>
            <w:shd w:fill="EAF0F8"/>
          </w:tcPr>
          <w:p>
            <w:pPr>
              <w:spacing w:after="40"/>
            </w:pPr>
            <w:r>
              <w:rPr>
                <w:rFonts w:ascii="Carlito" w:hAnsi="Carlito"/>
                <w:b/>
                <w:color w:val="1B3A6B"/>
                <w:sz w:val="20"/>
              </w:rPr>
              <w:t xml:space="preserve">Primary unit:  </w:t>
            </w:r>
            <w:r>
              <w:rPr>
                <w:rFonts w:ascii="Carlito" w:hAnsi="Carlito"/>
                <w:sz w:val="20"/>
              </w:rPr>
              <w:t>The subject. Windows are repeated observations within a subject. Do not use the number of EEG windows as the sample size for group-level inferential claims.</w:t>
            </w:r>
          </w:p>
        </w:tc>
      </w:tr>
    </w:tbl>
    <w:p>
      <w:pPr>
        <w:spacing w:after="0"/>
      </w:pPr>
    </w:p>
    <w:p>
      <w:pPr>
        <w:pStyle w:val="Heading2"/>
        <w:keepNext/>
      </w:pPr>
      <w:r>
        <w:t>14.2 Descriptive statistics</w:t>
      </w:r>
    </w:p>
    <w:p>
      <w:pPr>
        <w:pStyle w:val="ListBullet"/>
        <w:spacing w:after="40"/>
      </w:pPr>
      <w:r>
        <w:rPr>
          <w:rFonts w:ascii="Carlito" w:hAnsi="Carlito"/>
          <w:sz w:val="20"/>
        </w:rPr>
        <w:t>Report n, mean/SD and median/IQR for demographics and MMSE as appropriate.</w:t>
      </w:r>
    </w:p>
    <w:p>
      <w:pPr>
        <w:pStyle w:val="ListBullet"/>
        <w:spacing w:after="40"/>
      </w:pPr>
      <w:r>
        <w:rPr>
          <w:rFonts w:ascii="Carlito" w:hAnsi="Carlito"/>
          <w:sz w:val="20"/>
        </w:rPr>
        <w:t>Plot subject-level distributions, not only bar charts of group means.</w:t>
      </w:r>
    </w:p>
    <w:p>
      <w:pPr>
        <w:pStyle w:val="ListBullet"/>
        <w:spacing w:after="40"/>
      </w:pPr>
      <w:r>
        <w:rPr>
          <w:rFonts w:ascii="Carlito" w:hAnsi="Carlito"/>
          <w:sz w:val="20"/>
        </w:rPr>
        <w:t>Use bootstrap confidence intervals resampled at the subject level.</w:t>
      </w:r>
    </w:p>
    <w:p>
      <w:pPr>
        <w:pStyle w:val="Heading2"/>
        <w:keepNext/>
      </w:pPr>
      <w:r>
        <w:t>14.3 Group tests</w:t>
      </w:r>
    </w:p>
    <w:p>
      <w:pPr>
        <w:spacing w:after="110"/>
      </w:pPr>
      <w:r>
        <w:rPr>
          <w:rFonts w:ascii="Carlito" w:hAnsi="Carlito"/>
          <w:i w:val="0"/>
          <w:sz w:val="20"/>
        </w:rPr>
        <w:t>For each subject-level feature, choose a pre-specified robust approach. A practical default is Mann-Whitney U plus Cliff's delta for two-group exploratory comparisons, supplemented by regression models for adjusted analyses. For approximately Gaussian log-transformed features, Welch t-tests with Hedges' g are also reasonable. The test family must be consistent and documented.</w:t>
      </w:r>
    </w:p>
    <w:p>
      <w:pPr>
        <w:pStyle w:val="Heading2"/>
        <w:keepNext/>
      </w:pPr>
      <w:r>
        <w:t>14.4 Multiple comparisons</w:t>
      </w:r>
    </w:p>
    <w:p>
      <w:pPr>
        <w:spacing w:after="110"/>
      </w:pPr>
      <w:r>
        <w:rPr>
          <w:rFonts w:ascii="Carlito" w:hAnsi="Carlito"/>
          <w:i w:val="0"/>
          <w:sz w:val="20"/>
        </w:rPr>
        <w:t>The feature space can become very large (bands x channels x connectivity pairs x methods). Use Benjamini-Hochberg false discovery rate (FDR) correction within clearly defined hypothesis families. Do not pool every exploratory feature into one opaque correction family. Predefine families such as spectral replication, spectral critique, connectivity replication, and connectivity critique.</w:t>
      </w:r>
    </w:p>
    <w:p>
      <w:pPr>
        <w:pStyle w:val="Heading2"/>
        <w:keepNext/>
      </w:pPr>
      <w:r>
        <w:t>14.5 Recommended effect-size reporting</w:t>
      </w:r>
    </w:p>
    <w:tbl>
      <w:tblPr>
        <w:tblStyle w:val="TableGrid"/>
        <w:tblW w:type="auto" w:w="0"/>
        <w:jc w:val="center"/>
        <w:tblLook w:firstColumn="1" w:firstRow="1" w:lastColumn="0" w:lastRow="0" w:noHBand="0" w:noVBand="1" w:val="04A0"/>
      </w:tblPr>
      <w:tblGrid>
        <w:gridCol w:w="4997"/>
        <w:gridCol w:w="4997"/>
      </w:tblGrid>
      <w:tr>
        <w:trPr>
          <w:cantSplit/>
        </w:trPr>
        <w:tc>
          <w:tcPr>
            <w:tcW w:type="dxa" w:w="3168"/>
            <w:vAlign w:val="center"/>
            <w:shd w:fill="1B3A6B"/>
          </w:tcPr>
          <w:p>
            <w:pPr>
              <w:spacing w:after="0"/>
            </w:pPr>
            <w:r/>
            <w:r>
              <w:rPr>
                <w:rFonts w:ascii="Carlito" w:hAnsi="Carlito"/>
                <w:b/>
                <w:color w:val="FFFFFF"/>
                <w:sz w:val="18"/>
              </w:rPr>
              <w:t>Analysis</w:t>
            </w:r>
          </w:p>
        </w:tc>
        <w:tc>
          <w:tcPr>
            <w:tcW w:type="dxa" w:w="6912"/>
            <w:vAlign w:val="center"/>
            <w:shd w:fill="1B3A6B"/>
          </w:tcPr>
          <w:p>
            <w:pPr>
              <w:spacing w:after="0"/>
            </w:pPr>
            <w:r/>
            <w:r>
              <w:rPr>
                <w:rFonts w:ascii="Carlito" w:hAnsi="Carlito"/>
                <w:b/>
                <w:color w:val="FFFFFF"/>
                <w:sz w:val="18"/>
              </w:rPr>
              <w:t>Report</w:t>
            </w:r>
          </w:p>
        </w:tc>
      </w:tr>
      <w:tr>
        <w:trPr>
          <w:cantSplit/>
        </w:trPr>
        <w:tc>
          <w:tcPr>
            <w:tcW w:type="dxa" w:w="3168"/>
            <w:vAlign w:val="center"/>
          </w:tcPr>
          <w:p>
            <w:pPr>
              <w:spacing w:after="0"/>
            </w:pPr>
            <w:r/>
            <w:r>
              <w:rPr>
                <w:rFonts w:ascii="Carlito" w:hAnsi="Carlito"/>
                <w:b w:val="0"/>
                <w:color w:val="232323"/>
                <w:sz w:val="17"/>
              </w:rPr>
              <w:t>Group difference</w:t>
            </w:r>
          </w:p>
        </w:tc>
        <w:tc>
          <w:tcPr>
            <w:tcW w:type="dxa" w:w="6912"/>
            <w:vAlign w:val="center"/>
          </w:tcPr>
          <w:p>
            <w:pPr>
              <w:spacing w:after="0"/>
            </w:pPr>
            <w:r/>
            <w:r>
              <w:rPr>
                <w:rFonts w:ascii="Carlito" w:hAnsi="Carlito"/>
                <w:b w:val="0"/>
                <w:color w:val="232323"/>
                <w:sz w:val="17"/>
              </w:rPr>
              <w:t>Effect size + 95% CI + raw p + FDR-adjusted q</w:t>
            </w:r>
          </w:p>
        </w:tc>
      </w:tr>
      <w:tr>
        <w:trPr>
          <w:cantSplit/>
        </w:trPr>
        <w:tc>
          <w:tcPr>
            <w:tcW w:type="dxa" w:w="3168"/>
            <w:vAlign w:val="center"/>
            <w:shd w:fill="F4F6F8"/>
          </w:tcPr>
          <w:p>
            <w:pPr>
              <w:spacing w:after="0"/>
            </w:pPr>
            <w:r/>
            <w:r>
              <w:rPr>
                <w:rFonts w:ascii="Carlito" w:hAnsi="Carlito"/>
                <w:b w:val="0"/>
                <w:color w:val="232323"/>
                <w:sz w:val="17"/>
              </w:rPr>
              <w:t>MMSE association</w:t>
            </w:r>
          </w:p>
        </w:tc>
        <w:tc>
          <w:tcPr>
            <w:tcW w:type="dxa" w:w="6912"/>
            <w:vAlign w:val="center"/>
            <w:shd w:fill="F4F6F8"/>
          </w:tcPr>
          <w:p>
            <w:pPr>
              <w:spacing w:after="0"/>
            </w:pPr>
            <w:r/>
            <w:r>
              <w:rPr>
                <w:rFonts w:ascii="Carlito" w:hAnsi="Carlito"/>
                <w:b w:val="0"/>
                <w:color w:val="232323"/>
                <w:sz w:val="17"/>
              </w:rPr>
              <w:t>Spearman rho or regression beta + 95% CI</w:t>
            </w:r>
          </w:p>
        </w:tc>
      </w:tr>
      <w:tr>
        <w:trPr>
          <w:cantSplit/>
        </w:trPr>
        <w:tc>
          <w:tcPr>
            <w:tcW w:type="dxa" w:w="3168"/>
            <w:vAlign w:val="center"/>
          </w:tcPr>
          <w:p>
            <w:pPr>
              <w:spacing w:after="0"/>
            </w:pPr>
            <w:r/>
            <w:r>
              <w:rPr>
                <w:rFonts w:ascii="Carlito" w:hAnsi="Carlito"/>
                <w:b w:val="0"/>
                <w:color w:val="232323"/>
                <w:sz w:val="17"/>
              </w:rPr>
              <w:t>Model comparison</w:t>
            </w:r>
          </w:p>
        </w:tc>
        <w:tc>
          <w:tcPr>
            <w:tcW w:type="dxa" w:w="6912"/>
            <w:vAlign w:val="center"/>
          </w:tcPr>
          <w:p>
            <w:pPr>
              <w:spacing w:after="0"/>
            </w:pPr>
            <w:r/>
            <w:r>
              <w:rPr>
                <w:rFonts w:ascii="Carlito" w:hAnsi="Carlito"/>
                <w:b w:val="0"/>
                <w:color w:val="232323"/>
                <w:sz w:val="17"/>
              </w:rPr>
              <w:t>Outer-CV metric difference + paired bootstrap/CI</w:t>
            </w:r>
          </w:p>
        </w:tc>
      </w:tr>
      <w:tr>
        <w:trPr>
          <w:cantSplit/>
        </w:trPr>
        <w:tc>
          <w:tcPr>
            <w:tcW w:type="dxa" w:w="3168"/>
            <w:vAlign w:val="center"/>
            <w:shd w:fill="F4F6F8"/>
          </w:tcPr>
          <w:p>
            <w:pPr>
              <w:spacing w:after="0"/>
            </w:pPr>
            <w:r/>
            <w:r>
              <w:rPr>
                <w:rFonts w:ascii="Carlito" w:hAnsi="Carlito"/>
                <w:b w:val="0"/>
                <w:color w:val="232323"/>
                <w:sz w:val="17"/>
              </w:rPr>
              <w:t>Montage preservation</w:t>
            </w:r>
          </w:p>
        </w:tc>
        <w:tc>
          <w:tcPr>
            <w:tcW w:type="dxa" w:w="6912"/>
            <w:vAlign w:val="center"/>
            <w:shd w:fill="F4F6F8"/>
          </w:tcPr>
          <w:p>
            <w:pPr>
              <w:spacing w:after="0"/>
            </w:pPr>
            <w:r/>
            <w:r>
              <w:rPr>
                <w:rFonts w:ascii="Carlito" w:hAnsi="Carlito"/>
                <w:b w:val="0"/>
                <w:color w:val="232323"/>
                <w:sz w:val="17"/>
              </w:rPr>
              <w:t>Correlation/ICC or error + retained effect size</w:t>
            </w:r>
          </w:p>
        </w:tc>
      </w:tr>
      <w:tr>
        <w:trPr>
          <w:cantSplit/>
        </w:trPr>
        <w:tc>
          <w:tcPr>
            <w:tcW w:type="dxa" w:w="3168"/>
            <w:vAlign w:val="center"/>
          </w:tcPr>
          <w:p>
            <w:pPr>
              <w:spacing w:after="0"/>
            </w:pPr>
            <w:r/>
            <w:r>
              <w:rPr>
                <w:rFonts w:ascii="Carlito" w:hAnsi="Carlito"/>
                <w:b w:val="0"/>
                <w:color w:val="232323"/>
                <w:sz w:val="17"/>
              </w:rPr>
              <w:t>Feature stability</w:t>
            </w:r>
          </w:p>
        </w:tc>
        <w:tc>
          <w:tcPr>
            <w:tcW w:type="dxa" w:w="6912"/>
            <w:vAlign w:val="center"/>
          </w:tcPr>
          <w:p>
            <w:pPr>
              <w:spacing w:after="0"/>
            </w:pPr>
            <w:r/>
            <w:r>
              <w:rPr>
                <w:rFonts w:ascii="Carlito" w:hAnsi="Carlito"/>
                <w:b w:val="0"/>
                <w:color w:val="232323"/>
                <w:sz w:val="17"/>
              </w:rPr>
              <w:t>Bootstrap selection frequency or fold selection frequency</w:t>
            </w:r>
          </w:p>
        </w:tc>
      </w:tr>
    </w:tbl>
    <w:p>
      <w:pPr>
        <w:spacing w:after="0"/>
      </w:pPr>
    </w:p>
    <w:p>
      <w:pPr>
        <w:pStyle w:val="Heading2"/>
        <w:keepNext/>
      </w:pPr>
      <w:r>
        <w:t>14.6 Avoiding circular analysis</w:t>
      </w:r>
    </w:p>
    <w:p>
      <w:pPr>
        <w:pStyle w:val="ListBullet"/>
        <w:spacing w:after="40"/>
      </w:pPr>
      <w:r>
        <w:rPr>
          <w:rFonts w:ascii="Carlito" w:hAnsi="Carlito"/>
          <w:sz w:val="20"/>
        </w:rPr>
        <w:t>Do not select electrodes on all 88 subjects and then report cross-validation performance using those same selected electrodes.</w:t>
      </w:r>
    </w:p>
    <w:p>
      <w:pPr>
        <w:pStyle w:val="ListBullet"/>
        <w:spacing w:after="40"/>
      </w:pPr>
      <w:r>
        <w:rPr>
          <w:rFonts w:ascii="Carlito" w:hAnsi="Carlito"/>
          <w:sz w:val="20"/>
        </w:rPr>
        <w:t>Do not select significant biomarkers using the full dataset before evaluating ML on the same subjects.</w:t>
      </w:r>
    </w:p>
    <w:p>
      <w:pPr>
        <w:pStyle w:val="ListBullet"/>
        <w:spacing w:after="40"/>
      </w:pPr>
      <w:r>
        <w:rPr>
          <w:rFonts w:ascii="Carlito" w:hAnsi="Carlito"/>
          <w:sz w:val="20"/>
        </w:rPr>
        <w:t>Within each outer fold, every fitted operation - scaling, imputation, feature selection, channel selection, hyperparameter tuning - must use training subjects only.</w:t>
      </w:r>
    </w:p>
    <w:p>
      <w:pPr>
        <w:pStyle w:val="Heading1"/>
        <w:keepNext/>
      </w:pPr>
      <w:r>
        <w:t>15. Machine-Learning Plan</w:t>
      </w:r>
    </w:p>
    <w:p>
      <w:pPr>
        <w:pStyle w:val="Heading2"/>
        <w:keepNext/>
      </w:pPr>
      <w:r>
        <w:t>15.1 Why classical ML first</w:t>
      </w:r>
    </w:p>
    <w:p>
      <w:pPr>
        <w:spacing w:after="110"/>
      </w:pPr>
      <w:r>
        <w:rPr>
          <w:rFonts w:ascii="Carlito" w:hAnsi="Carlito"/>
          <w:i w:val="0"/>
          <w:sz w:val="20"/>
        </w:rPr>
        <w:t>The dataset contains 88 independent subjects. Deep models can see thousands of windows, but the biological sample size remains 88. The first objective is to compare biomarkers, not architectures. Use interpretable models before adding DICE-Net or another neural network.</w:t>
      </w:r>
    </w:p>
    <w:p>
      <w:pPr>
        <w:pStyle w:val="Heading2"/>
        <w:keepNext/>
      </w:pPr>
      <w:r>
        <w:t>15.2 Feature-family experiments</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1152"/>
            <w:vAlign w:val="center"/>
            <w:shd w:fill="1B3A6B"/>
          </w:tcPr>
          <w:p>
            <w:pPr>
              <w:spacing w:after="0"/>
            </w:pPr>
            <w:r/>
            <w:r>
              <w:rPr>
                <w:rFonts w:ascii="Carlito" w:hAnsi="Carlito"/>
                <w:b/>
                <w:color w:val="FFFFFF"/>
                <w:sz w:val="18"/>
              </w:rPr>
              <w:t>Model set</w:t>
            </w:r>
          </w:p>
        </w:tc>
        <w:tc>
          <w:tcPr>
            <w:tcW w:type="dxa" w:w="4680"/>
            <w:vAlign w:val="center"/>
            <w:shd w:fill="1B3A6B"/>
          </w:tcPr>
          <w:p>
            <w:pPr>
              <w:spacing w:after="0"/>
            </w:pPr>
            <w:r/>
            <w:r>
              <w:rPr>
                <w:rFonts w:ascii="Carlito" w:hAnsi="Carlito"/>
                <w:b/>
                <w:color w:val="FFFFFF"/>
                <w:sz w:val="18"/>
              </w:rPr>
              <w:t>Inputs</w:t>
            </w:r>
          </w:p>
        </w:tc>
        <w:tc>
          <w:tcPr>
            <w:tcW w:type="dxa" w:w="4248"/>
            <w:vAlign w:val="center"/>
            <w:shd w:fill="1B3A6B"/>
          </w:tcPr>
          <w:p>
            <w:pPr>
              <w:spacing w:after="0"/>
            </w:pPr>
            <w:r/>
            <w:r>
              <w:rPr>
                <w:rFonts w:ascii="Carlito" w:hAnsi="Carlito"/>
                <w:b/>
                <w:color w:val="FFFFFF"/>
                <w:sz w:val="18"/>
              </w:rPr>
              <w:t>Purpose</w:t>
            </w:r>
          </w:p>
        </w:tc>
      </w:tr>
      <w:tr>
        <w:trPr>
          <w:cantSplit/>
        </w:trPr>
        <w:tc>
          <w:tcPr>
            <w:tcW w:type="dxa" w:w="1152"/>
            <w:vAlign w:val="center"/>
          </w:tcPr>
          <w:p>
            <w:pPr>
              <w:spacing w:after="0"/>
            </w:pPr>
            <w:r/>
            <w:r>
              <w:rPr>
                <w:rFonts w:ascii="Carlito" w:hAnsi="Carlito"/>
                <w:b w:val="0"/>
                <w:color w:val="232323"/>
                <w:sz w:val="17"/>
              </w:rPr>
              <w:t>M0</w:t>
            </w:r>
          </w:p>
        </w:tc>
        <w:tc>
          <w:tcPr>
            <w:tcW w:type="dxa" w:w="4680"/>
            <w:vAlign w:val="center"/>
          </w:tcPr>
          <w:p>
            <w:pPr>
              <w:spacing w:after="0"/>
            </w:pPr>
            <w:r/>
            <w:r>
              <w:rPr>
                <w:rFonts w:ascii="Carlito" w:hAnsi="Carlito"/>
                <w:b w:val="0"/>
                <w:color w:val="232323"/>
                <w:sz w:val="17"/>
              </w:rPr>
              <w:t>Age/sex only (optional)</w:t>
            </w:r>
          </w:p>
        </w:tc>
        <w:tc>
          <w:tcPr>
            <w:tcW w:type="dxa" w:w="4248"/>
            <w:vAlign w:val="center"/>
          </w:tcPr>
          <w:p>
            <w:pPr>
              <w:spacing w:after="0"/>
            </w:pPr>
            <w:r/>
            <w:r>
              <w:rPr>
                <w:rFonts w:ascii="Carlito" w:hAnsi="Carlito"/>
                <w:b w:val="0"/>
                <w:color w:val="232323"/>
                <w:sz w:val="17"/>
              </w:rPr>
              <w:t>Demographic baseline; not a diagnostic product</w:t>
            </w:r>
          </w:p>
        </w:tc>
      </w:tr>
      <w:tr>
        <w:trPr>
          <w:cantSplit/>
        </w:trPr>
        <w:tc>
          <w:tcPr>
            <w:tcW w:type="dxa" w:w="1152"/>
            <w:vAlign w:val="center"/>
            <w:shd w:fill="F4F6F8"/>
          </w:tcPr>
          <w:p>
            <w:pPr>
              <w:spacing w:after="0"/>
            </w:pPr>
            <w:r/>
            <w:r>
              <w:rPr>
                <w:rFonts w:ascii="Carlito" w:hAnsi="Carlito"/>
                <w:b w:val="0"/>
                <w:color w:val="232323"/>
                <w:sz w:val="17"/>
              </w:rPr>
              <w:t>M1</w:t>
            </w:r>
          </w:p>
        </w:tc>
        <w:tc>
          <w:tcPr>
            <w:tcW w:type="dxa" w:w="4680"/>
            <w:vAlign w:val="center"/>
            <w:shd w:fill="F4F6F8"/>
          </w:tcPr>
          <w:p>
            <w:pPr>
              <w:spacing w:after="0"/>
            </w:pPr>
            <w:r/>
            <w:r>
              <w:rPr>
                <w:rFonts w:ascii="Carlito" w:hAnsi="Carlito"/>
                <w:b w:val="0"/>
                <w:color w:val="232323"/>
                <w:sz w:val="17"/>
              </w:rPr>
              <w:t>DICE RBP</w:t>
            </w:r>
          </w:p>
        </w:tc>
        <w:tc>
          <w:tcPr>
            <w:tcW w:type="dxa" w:w="4248"/>
            <w:vAlign w:val="center"/>
            <w:shd w:fill="F4F6F8"/>
          </w:tcPr>
          <w:p>
            <w:pPr>
              <w:spacing w:after="0"/>
            </w:pPr>
            <w:r/>
            <w:r>
              <w:rPr>
                <w:rFonts w:ascii="Carlito" w:hAnsi="Carlito"/>
                <w:b w:val="0"/>
                <w:color w:val="232323"/>
                <w:sz w:val="17"/>
              </w:rPr>
              <w:t>Original spectral biomarker</w:t>
            </w:r>
          </w:p>
        </w:tc>
      </w:tr>
      <w:tr>
        <w:trPr>
          <w:cantSplit/>
        </w:trPr>
        <w:tc>
          <w:tcPr>
            <w:tcW w:type="dxa" w:w="1152"/>
            <w:vAlign w:val="center"/>
          </w:tcPr>
          <w:p>
            <w:pPr>
              <w:spacing w:after="0"/>
            </w:pPr>
            <w:r/>
            <w:r>
              <w:rPr>
                <w:rFonts w:ascii="Carlito" w:hAnsi="Carlito"/>
                <w:b w:val="0"/>
                <w:color w:val="232323"/>
                <w:sz w:val="17"/>
              </w:rPr>
              <w:t>M2</w:t>
            </w:r>
          </w:p>
        </w:tc>
        <w:tc>
          <w:tcPr>
            <w:tcW w:type="dxa" w:w="4680"/>
            <w:vAlign w:val="center"/>
          </w:tcPr>
          <w:p>
            <w:pPr>
              <w:spacing w:after="0"/>
            </w:pPr>
            <w:r/>
            <w:r>
              <w:rPr>
                <w:rFonts w:ascii="Carlito" w:hAnsi="Carlito"/>
                <w:b w:val="0"/>
                <w:color w:val="232323"/>
                <w:sz w:val="17"/>
              </w:rPr>
              <w:t>DICE SCC</w:t>
            </w:r>
          </w:p>
        </w:tc>
        <w:tc>
          <w:tcPr>
            <w:tcW w:type="dxa" w:w="4248"/>
            <w:vAlign w:val="center"/>
          </w:tcPr>
          <w:p>
            <w:pPr>
              <w:spacing w:after="0"/>
            </w:pPr>
            <w:r/>
            <w:r>
              <w:rPr>
                <w:rFonts w:ascii="Carlito" w:hAnsi="Carlito"/>
                <w:b w:val="0"/>
                <w:color w:val="232323"/>
                <w:sz w:val="17"/>
              </w:rPr>
              <w:t>Original connectivity biomarker</w:t>
            </w:r>
          </w:p>
        </w:tc>
      </w:tr>
      <w:tr>
        <w:trPr>
          <w:cantSplit/>
        </w:trPr>
        <w:tc>
          <w:tcPr>
            <w:tcW w:type="dxa" w:w="1152"/>
            <w:vAlign w:val="center"/>
            <w:shd w:fill="F4F6F8"/>
          </w:tcPr>
          <w:p>
            <w:pPr>
              <w:spacing w:after="0"/>
            </w:pPr>
            <w:r/>
            <w:r>
              <w:rPr>
                <w:rFonts w:ascii="Carlito" w:hAnsi="Carlito"/>
                <w:b w:val="0"/>
                <w:color w:val="232323"/>
                <w:sz w:val="17"/>
              </w:rPr>
              <w:t>M3</w:t>
            </w:r>
          </w:p>
        </w:tc>
        <w:tc>
          <w:tcPr>
            <w:tcW w:type="dxa" w:w="4680"/>
            <w:vAlign w:val="center"/>
            <w:shd w:fill="F4F6F8"/>
          </w:tcPr>
          <w:p>
            <w:pPr>
              <w:spacing w:after="0"/>
            </w:pPr>
            <w:r/>
            <w:r>
              <w:rPr>
                <w:rFonts w:ascii="Carlito" w:hAnsi="Carlito"/>
                <w:b w:val="0"/>
                <w:color w:val="232323"/>
                <w:sz w:val="17"/>
              </w:rPr>
              <w:t>RBP + SCC</w:t>
            </w:r>
          </w:p>
        </w:tc>
        <w:tc>
          <w:tcPr>
            <w:tcW w:type="dxa" w:w="4248"/>
            <w:vAlign w:val="center"/>
            <w:shd w:fill="F4F6F8"/>
          </w:tcPr>
          <w:p>
            <w:pPr>
              <w:spacing w:after="0"/>
            </w:pPr>
            <w:r/>
            <w:r>
              <w:rPr>
                <w:rFonts w:ascii="Carlito" w:hAnsi="Carlito"/>
                <w:b w:val="0"/>
                <w:color w:val="232323"/>
                <w:sz w:val="17"/>
              </w:rPr>
              <w:t>Original dual biomarker</w:t>
            </w:r>
          </w:p>
        </w:tc>
      </w:tr>
      <w:tr>
        <w:trPr>
          <w:cantSplit/>
        </w:trPr>
        <w:tc>
          <w:tcPr>
            <w:tcW w:type="dxa" w:w="1152"/>
            <w:vAlign w:val="center"/>
          </w:tcPr>
          <w:p>
            <w:pPr>
              <w:spacing w:after="0"/>
            </w:pPr>
            <w:r/>
            <w:r>
              <w:rPr>
                <w:rFonts w:ascii="Carlito" w:hAnsi="Carlito"/>
                <w:b w:val="0"/>
                <w:color w:val="232323"/>
                <w:sz w:val="17"/>
              </w:rPr>
              <w:t>M4</w:t>
            </w:r>
          </w:p>
        </w:tc>
        <w:tc>
          <w:tcPr>
            <w:tcW w:type="dxa" w:w="4680"/>
            <w:vAlign w:val="center"/>
          </w:tcPr>
          <w:p>
            <w:pPr>
              <w:spacing w:after="0"/>
            </w:pPr>
            <w:r/>
            <w:r>
              <w:rPr>
                <w:rFonts w:ascii="Carlito" w:hAnsi="Carlito"/>
                <w:b w:val="0"/>
                <w:color w:val="232323"/>
                <w:sz w:val="17"/>
              </w:rPr>
              <w:t>IAF + individualized spectral features</w:t>
            </w:r>
          </w:p>
        </w:tc>
        <w:tc>
          <w:tcPr>
            <w:tcW w:type="dxa" w:w="4248"/>
            <w:vAlign w:val="center"/>
          </w:tcPr>
          <w:p>
            <w:pPr>
              <w:spacing w:after="0"/>
            </w:pPr>
            <w:r/>
            <w:r>
              <w:rPr>
                <w:rFonts w:ascii="Carlito" w:hAnsi="Carlito"/>
                <w:b w:val="0"/>
                <w:color w:val="232323"/>
                <w:sz w:val="17"/>
              </w:rPr>
              <w:t>Fixed-band critique</w:t>
            </w:r>
          </w:p>
        </w:tc>
      </w:tr>
      <w:tr>
        <w:trPr>
          <w:cantSplit/>
        </w:trPr>
        <w:tc>
          <w:tcPr>
            <w:tcW w:type="dxa" w:w="1152"/>
            <w:vAlign w:val="center"/>
            <w:shd w:fill="F4F6F8"/>
          </w:tcPr>
          <w:p>
            <w:pPr>
              <w:spacing w:after="0"/>
            </w:pPr>
            <w:r/>
            <w:r>
              <w:rPr>
                <w:rFonts w:ascii="Carlito" w:hAnsi="Carlito"/>
                <w:b w:val="0"/>
                <w:color w:val="232323"/>
                <w:sz w:val="17"/>
              </w:rPr>
              <w:t>M5</w:t>
            </w:r>
          </w:p>
        </w:tc>
        <w:tc>
          <w:tcPr>
            <w:tcW w:type="dxa" w:w="4680"/>
            <w:vAlign w:val="center"/>
            <w:shd w:fill="F4F6F8"/>
          </w:tcPr>
          <w:p>
            <w:pPr>
              <w:spacing w:after="0"/>
            </w:pPr>
            <w:r/>
            <w:r>
              <w:rPr>
                <w:rFonts w:ascii="Carlito" w:hAnsi="Carlito"/>
                <w:b w:val="0"/>
                <w:color w:val="232323"/>
                <w:sz w:val="17"/>
              </w:rPr>
              <w:t>Periodic + aperiodic spectral features</w:t>
            </w:r>
          </w:p>
        </w:tc>
        <w:tc>
          <w:tcPr>
            <w:tcW w:type="dxa" w:w="4248"/>
            <w:vAlign w:val="center"/>
            <w:shd w:fill="F4F6F8"/>
          </w:tcPr>
          <w:p>
            <w:pPr>
              <w:spacing w:after="0"/>
            </w:pPr>
            <w:r/>
            <w:r>
              <w:rPr>
                <w:rFonts w:ascii="Carlito" w:hAnsi="Carlito"/>
                <w:b w:val="0"/>
                <w:color w:val="232323"/>
                <w:sz w:val="17"/>
              </w:rPr>
              <w:t>Spectral-decomposition critique</w:t>
            </w:r>
          </w:p>
        </w:tc>
      </w:tr>
      <w:tr>
        <w:trPr>
          <w:cantSplit/>
        </w:trPr>
        <w:tc>
          <w:tcPr>
            <w:tcW w:type="dxa" w:w="1152"/>
            <w:vAlign w:val="center"/>
          </w:tcPr>
          <w:p>
            <w:pPr>
              <w:spacing w:after="0"/>
            </w:pPr>
            <w:r/>
            <w:r>
              <w:rPr>
                <w:rFonts w:ascii="Carlito" w:hAnsi="Carlito"/>
                <w:b w:val="0"/>
                <w:color w:val="232323"/>
                <w:sz w:val="17"/>
              </w:rPr>
              <w:t>M6</w:t>
            </w:r>
          </w:p>
        </w:tc>
        <w:tc>
          <w:tcPr>
            <w:tcW w:type="dxa" w:w="4680"/>
            <w:vAlign w:val="center"/>
          </w:tcPr>
          <w:p>
            <w:pPr>
              <w:spacing w:after="0"/>
            </w:pPr>
            <w:r/>
            <w:r>
              <w:rPr>
                <w:rFonts w:ascii="Carlito" w:hAnsi="Carlito"/>
                <w:b w:val="0"/>
                <w:color w:val="232323"/>
                <w:sz w:val="17"/>
              </w:rPr>
              <w:t>wPLI / ImCoh summaries</w:t>
            </w:r>
          </w:p>
        </w:tc>
        <w:tc>
          <w:tcPr>
            <w:tcW w:type="dxa" w:w="4248"/>
            <w:vAlign w:val="center"/>
          </w:tcPr>
          <w:p>
            <w:pPr>
              <w:spacing w:after="0"/>
            </w:pPr>
            <w:r/>
            <w:r>
              <w:rPr>
                <w:rFonts w:ascii="Carlito" w:hAnsi="Carlito"/>
                <w:b w:val="0"/>
                <w:color w:val="232323"/>
                <w:sz w:val="17"/>
              </w:rPr>
              <w:t>Connectivity critique</w:t>
            </w:r>
          </w:p>
        </w:tc>
      </w:tr>
      <w:tr>
        <w:trPr>
          <w:cantSplit/>
        </w:trPr>
        <w:tc>
          <w:tcPr>
            <w:tcW w:type="dxa" w:w="1152"/>
            <w:vAlign w:val="center"/>
            <w:shd w:fill="F4F6F8"/>
          </w:tcPr>
          <w:p>
            <w:pPr>
              <w:spacing w:after="0"/>
            </w:pPr>
            <w:r/>
            <w:r>
              <w:rPr>
                <w:rFonts w:ascii="Carlito" w:hAnsi="Carlito"/>
                <w:b w:val="0"/>
                <w:color w:val="232323"/>
                <w:sz w:val="17"/>
              </w:rPr>
              <w:t>M7</w:t>
            </w:r>
          </w:p>
        </w:tc>
        <w:tc>
          <w:tcPr>
            <w:tcW w:type="dxa" w:w="4680"/>
            <w:vAlign w:val="center"/>
            <w:shd w:fill="F4F6F8"/>
          </w:tcPr>
          <w:p>
            <w:pPr>
              <w:spacing w:after="0"/>
            </w:pPr>
            <w:r/>
            <w:r>
              <w:rPr>
                <w:rFonts w:ascii="Carlito" w:hAnsi="Carlito"/>
                <w:b w:val="0"/>
                <w:color w:val="232323"/>
                <w:sz w:val="17"/>
              </w:rPr>
              <w:t>Robust features only</w:t>
            </w:r>
          </w:p>
        </w:tc>
        <w:tc>
          <w:tcPr>
            <w:tcW w:type="dxa" w:w="4248"/>
            <w:vAlign w:val="center"/>
            <w:shd w:fill="F4F6F8"/>
          </w:tcPr>
          <w:p>
            <w:pPr>
              <w:spacing w:after="0"/>
            </w:pPr>
            <w:r/>
            <w:r>
              <w:rPr>
                <w:rFonts w:ascii="Carlito" w:hAnsi="Carlito"/>
                <w:b w:val="0"/>
                <w:color w:val="232323"/>
                <w:sz w:val="17"/>
              </w:rPr>
              <w:t>Final biomarker model</w:t>
            </w:r>
          </w:p>
        </w:tc>
      </w:tr>
      <w:tr>
        <w:trPr>
          <w:cantSplit/>
        </w:trPr>
        <w:tc>
          <w:tcPr>
            <w:tcW w:type="dxa" w:w="1152"/>
            <w:vAlign w:val="center"/>
          </w:tcPr>
          <w:p>
            <w:pPr>
              <w:spacing w:after="0"/>
            </w:pPr>
            <w:r/>
            <w:r>
              <w:rPr>
                <w:rFonts w:ascii="Carlito" w:hAnsi="Carlito"/>
                <w:b w:val="0"/>
                <w:color w:val="232323"/>
                <w:sz w:val="17"/>
              </w:rPr>
              <w:t>M8</w:t>
            </w:r>
          </w:p>
        </w:tc>
        <w:tc>
          <w:tcPr>
            <w:tcW w:type="dxa" w:w="4680"/>
            <w:vAlign w:val="center"/>
          </w:tcPr>
          <w:p>
            <w:pPr>
              <w:spacing w:after="0"/>
            </w:pPr>
            <w:r/>
            <w:r>
              <w:rPr>
                <w:rFonts w:ascii="Carlito" w:hAnsi="Carlito"/>
                <w:b w:val="0"/>
                <w:color w:val="232323"/>
                <w:sz w:val="17"/>
              </w:rPr>
              <w:t>Robust features + reduced montage</w:t>
            </w:r>
          </w:p>
        </w:tc>
        <w:tc>
          <w:tcPr>
            <w:tcW w:type="dxa" w:w="4248"/>
            <w:vAlign w:val="center"/>
          </w:tcPr>
          <w:p>
            <w:pPr>
              <w:spacing w:after="0"/>
            </w:pPr>
            <w:r/>
            <w:r>
              <w:rPr>
                <w:rFonts w:ascii="Carlito" w:hAnsi="Carlito"/>
                <w:b w:val="0"/>
                <w:color w:val="232323"/>
                <w:sz w:val="17"/>
              </w:rPr>
              <w:t>Engineering model</w:t>
            </w:r>
          </w:p>
        </w:tc>
      </w:tr>
    </w:tbl>
    <w:p>
      <w:pPr>
        <w:spacing w:after="0"/>
      </w:pPr>
    </w:p>
    <w:p>
      <w:pPr>
        <w:pStyle w:val="Heading2"/>
        <w:keepNext/>
      </w:pPr>
      <w:r>
        <w:t>15.3 Algorithms</w:t>
      </w:r>
    </w:p>
    <w:p>
      <w:pPr>
        <w:pStyle w:val="ListBullet"/>
        <w:spacing w:after="40"/>
      </w:pPr>
      <w:r>
        <w:rPr>
          <w:rFonts w:ascii="Carlito" w:hAnsi="Carlito"/>
          <w:sz w:val="20"/>
        </w:rPr>
        <w:t>Logistic regression with regularization - primary interpretable baseline.</w:t>
      </w:r>
    </w:p>
    <w:p>
      <w:pPr>
        <w:pStyle w:val="ListBullet"/>
        <w:spacing w:after="40"/>
      </w:pPr>
      <w:r>
        <w:rPr>
          <w:rFonts w:ascii="Carlito" w:hAnsi="Carlito"/>
          <w:sz w:val="20"/>
        </w:rPr>
        <w:t>Linear SVM - strong small-sample baseline.</w:t>
      </w:r>
    </w:p>
    <w:p>
      <w:pPr>
        <w:pStyle w:val="ListBullet"/>
        <w:spacing w:after="40"/>
      </w:pPr>
      <w:r>
        <w:rPr>
          <w:rFonts w:ascii="Carlito" w:hAnsi="Carlito"/>
          <w:sz w:val="20"/>
        </w:rPr>
        <w:t>XGBoost - nonlinear comparison, carefully tuned inside inner CV.</w:t>
      </w:r>
    </w:p>
    <w:p>
      <w:pPr>
        <w:pStyle w:val="ListBullet"/>
        <w:spacing w:after="40"/>
      </w:pPr>
      <w:r>
        <w:rPr>
          <w:rFonts w:ascii="Carlito" w:hAnsi="Carlito"/>
          <w:sz w:val="20"/>
        </w:rPr>
        <w:t>Optional DICE-Net reimplementation - only after feature analyses are stable, primarily as a benchmark rather than the central contribution.</w:t>
      </w:r>
    </w:p>
    <w:p>
      <w:pPr>
        <w:pStyle w:val="Heading2"/>
        <w:keepNext/>
      </w:pPr>
      <w:r>
        <w:t>15.4 Metrics</w:t>
      </w:r>
    </w:p>
    <w:tbl>
      <w:tblPr>
        <w:tblStyle w:val="TableGrid"/>
        <w:tblW w:type="auto" w:w="0"/>
        <w:jc w:val="center"/>
        <w:tblLook w:firstColumn="1" w:firstRow="1" w:lastColumn="0" w:lastRow="0" w:noHBand="0" w:noVBand="1" w:val="04A0"/>
      </w:tblPr>
      <w:tblGrid>
        <w:gridCol w:w="4997"/>
        <w:gridCol w:w="4997"/>
      </w:tblGrid>
      <w:tr>
        <w:trPr>
          <w:cantSplit/>
        </w:trPr>
        <w:tc>
          <w:tcPr>
            <w:tcW w:type="dxa" w:w="2880"/>
            <w:vAlign w:val="center"/>
            <w:shd w:fill="1B3A6B"/>
          </w:tcPr>
          <w:p>
            <w:pPr>
              <w:spacing w:after="0"/>
            </w:pPr>
            <w:r/>
            <w:r>
              <w:rPr>
                <w:rFonts w:ascii="Carlito" w:hAnsi="Carlito"/>
                <w:b/>
                <w:color w:val="FFFFFF"/>
                <w:sz w:val="18"/>
              </w:rPr>
              <w:t>Metric</w:t>
            </w:r>
          </w:p>
        </w:tc>
        <w:tc>
          <w:tcPr>
            <w:tcW w:type="dxa" w:w="7200"/>
            <w:vAlign w:val="center"/>
            <w:shd w:fill="1B3A6B"/>
          </w:tcPr>
          <w:p>
            <w:pPr>
              <w:spacing w:after="0"/>
            </w:pPr>
            <w:r/>
            <w:r>
              <w:rPr>
                <w:rFonts w:ascii="Carlito" w:hAnsi="Carlito"/>
                <w:b/>
                <w:color w:val="FFFFFF"/>
                <w:sz w:val="18"/>
              </w:rPr>
              <w:t>Use</w:t>
            </w:r>
          </w:p>
        </w:tc>
      </w:tr>
      <w:tr>
        <w:trPr>
          <w:cantSplit/>
        </w:trPr>
        <w:tc>
          <w:tcPr>
            <w:tcW w:type="dxa" w:w="2880"/>
            <w:vAlign w:val="center"/>
          </w:tcPr>
          <w:p>
            <w:pPr>
              <w:spacing w:after="0"/>
            </w:pPr>
            <w:r/>
            <w:r>
              <w:rPr>
                <w:rFonts w:ascii="Carlito" w:hAnsi="Carlito"/>
                <w:b w:val="0"/>
                <w:color w:val="232323"/>
                <w:sz w:val="17"/>
              </w:rPr>
              <w:t>Balanced accuracy</w:t>
            </w:r>
          </w:p>
        </w:tc>
        <w:tc>
          <w:tcPr>
            <w:tcW w:type="dxa" w:w="7200"/>
            <w:vAlign w:val="center"/>
          </w:tcPr>
          <w:p>
            <w:pPr>
              <w:spacing w:after="0"/>
            </w:pPr>
            <w:r/>
            <w:r>
              <w:rPr>
                <w:rFonts w:ascii="Carlito" w:hAnsi="Carlito"/>
                <w:b w:val="0"/>
                <w:color w:val="232323"/>
                <w:sz w:val="17"/>
              </w:rPr>
              <w:t>Primary when class counts differ</w:t>
            </w:r>
          </w:p>
        </w:tc>
      </w:tr>
      <w:tr>
        <w:trPr>
          <w:cantSplit/>
        </w:trPr>
        <w:tc>
          <w:tcPr>
            <w:tcW w:type="dxa" w:w="2880"/>
            <w:vAlign w:val="center"/>
            <w:shd w:fill="F4F6F8"/>
          </w:tcPr>
          <w:p>
            <w:pPr>
              <w:spacing w:after="0"/>
            </w:pPr>
            <w:r/>
            <w:r>
              <w:rPr>
                <w:rFonts w:ascii="Carlito" w:hAnsi="Carlito"/>
                <w:b w:val="0"/>
                <w:color w:val="232323"/>
                <w:sz w:val="17"/>
              </w:rPr>
              <w:t>ROC-AUC</w:t>
            </w:r>
          </w:p>
        </w:tc>
        <w:tc>
          <w:tcPr>
            <w:tcW w:type="dxa" w:w="7200"/>
            <w:vAlign w:val="center"/>
            <w:shd w:fill="F4F6F8"/>
          </w:tcPr>
          <w:p>
            <w:pPr>
              <w:spacing w:after="0"/>
            </w:pPr>
            <w:r/>
            <w:r>
              <w:rPr>
                <w:rFonts w:ascii="Carlito" w:hAnsi="Carlito"/>
                <w:b w:val="0"/>
                <w:color w:val="232323"/>
                <w:sz w:val="17"/>
              </w:rPr>
              <w:t>Ranking performance</w:t>
            </w:r>
          </w:p>
        </w:tc>
      </w:tr>
      <w:tr>
        <w:trPr>
          <w:cantSplit/>
        </w:trPr>
        <w:tc>
          <w:tcPr>
            <w:tcW w:type="dxa" w:w="2880"/>
            <w:vAlign w:val="center"/>
          </w:tcPr>
          <w:p>
            <w:pPr>
              <w:spacing w:after="0"/>
            </w:pPr>
            <w:r/>
            <w:r>
              <w:rPr>
                <w:rFonts w:ascii="Carlito" w:hAnsi="Carlito"/>
                <w:b w:val="0"/>
                <w:color w:val="232323"/>
                <w:sz w:val="17"/>
              </w:rPr>
              <w:t>Sensitivity</w:t>
            </w:r>
          </w:p>
        </w:tc>
        <w:tc>
          <w:tcPr>
            <w:tcW w:type="dxa" w:w="7200"/>
            <w:vAlign w:val="center"/>
          </w:tcPr>
          <w:p>
            <w:pPr>
              <w:spacing w:after="0"/>
            </w:pPr>
            <w:r/>
            <w:r>
              <w:rPr>
                <w:rFonts w:ascii="Carlito" w:hAnsi="Carlito"/>
                <w:b w:val="0"/>
                <w:color w:val="232323"/>
                <w:sz w:val="17"/>
              </w:rPr>
              <w:t>Patient detection rate</w:t>
            </w:r>
          </w:p>
        </w:tc>
      </w:tr>
      <w:tr>
        <w:trPr>
          <w:cantSplit/>
        </w:trPr>
        <w:tc>
          <w:tcPr>
            <w:tcW w:type="dxa" w:w="2880"/>
            <w:vAlign w:val="center"/>
            <w:shd w:fill="F4F6F8"/>
          </w:tcPr>
          <w:p>
            <w:pPr>
              <w:spacing w:after="0"/>
            </w:pPr>
            <w:r/>
            <w:r>
              <w:rPr>
                <w:rFonts w:ascii="Carlito" w:hAnsi="Carlito"/>
                <w:b w:val="0"/>
                <w:color w:val="232323"/>
                <w:sz w:val="17"/>
              </w:rPr>
              <w:t>Specificity</w:t>
            </w:r>
          </w:p>
        </w:tc>
        <w:tc>
          <w:tcPr>
            <w:tcW w:type="dxa" w:w="7200"/>
            <w:vAlign w:val="center"/>
            <w:shd w:fill="F4F6F8"/>
          </w:tcPr>
          <w:p>
            <w:pPr>
              <w:spacing w:after="0"/>
            </w:pPr>
            <w:r/>
            <w:r>
              <w:rPr>
                <w:rFonts w:ascii="Carlito" w:hAnsi="Carlito"/>
                <w:b w:val="0"/>
                <w:color w:val="232323"/>
                <w:sz w:val="17"/>
              </w:rPr>
              <w:t>Control rejection rate</w:t>
            </w:r>
          </w:p>
        </w:tc>
      </w:tr>
      <w:tr>
        <w:trPr>
          <w:cantSplit/>
        </w:trPr>
        <w:tc>
          <w:tcPr>
            <w:tcW w:type="dxa" w:w="2880"/>
            <w:vAlign w:val="center"/>
          </w:tcPr>
          <w:p>
            <w:pPr>
              <w:spacing w:after="0"/>
            </w:pPr>
            <w:r/>
            <w:r>
              <w:rPr>
                <w:rFonts w:ascii="Carlito" w:hAnsi="Carlito"/>
                <w:b w:val="0"/>
                <w:color w:val="232323"/>
                <w:sz w:val="17"/>
              </w:rPr>
              <w:t>F1</w:t>
            </w:r>
          </w:p>
        </w:tc>
        <w:tc>
          <w:tcPr>
            <w:tcW w:type="dxa" w:w="7200"/>
            <w:vAlign w:val="center"/>
          </w:tcPr>
          <w:p>
            <w:pPr>
              <w:spacing w:after="0"/>
            </w:pPr>
            <w:r/>
            <w:r>
              <w:rPr>
                <w:rFonts w:ascii="Carlito" w:hAnsi="Carlito"/>
                <w:b w:val="0"/>
                <w:color w:val="232323"/>
                <w:sz w:val="17"/>
              </w:rPr>
              <w:t>Precision-recall balance</w:t>
            </w:r>
          </w:p>
        </w:tc>
      </w:tr>
      <w:tr>
        <w:trPr>
          <w:cantSplit/>
        </w:trPr>
        <w:tc>
          <w:tcPr>
            <w:tcW w:type="dxa" w:w="2880"/>
            <w:vAlign w:val="center"/>
            <w:shd w:fill="F4F6F8"/>
          </w:tcPr>
          <w:p>
            <w:pPr>
              <w:spacing w:after="0"/>
            </w:pPr>
            <w:r/>
            <w:r>
              <w:rPr>
                <w:rFonts w:ascii="Carlito" w:hAnsi="Carlito"/>
                <w:b w:val="0"/>
                <w:color w:val="232323"/>
                <w:sz w:val="17"/>
              </w:rPr>
              <w:t>MCC</w:t>
            </w:r>
          </w:p>
        </w:tc>
        <w:tc>
          <w:tcPr>
            <w:tcW w:type="dxa" w:w="7200"/>
            <w:vAlign w:val="center"/>
            <w:shd w:fill="F4F6F8"/>
          </w:tcPr>
          <w:p>
            <w:pPr>
              <w:spacing w:after="0"/>
            </w:pPr>
            <w:r/>
            <w:r>
              <w:rPr>
                <w:rFonts w:ascii="Carlito" w:hAnsi="Carlito"/>
                <w:b w:val="0"/>
                <w:color w:val="232323"/>
                <w:sz w:val="17"/>
              </w:rPr>
              <w:t>Useful balanced summary for small binary datasets</w:t>
            </w:r>
          </w:p>
        </w:tc>
      </w:tr>
      <w:tr>
        <w:trPr>
          <w:cantSplit/>
        </w:trPr>
        <w:tc>
          <w:tcPr>
            <w:tcW w:type="dxa" w:w="2880"/>
            <w:vAlign w:val="center"/>
          </w:tcPr>
          <w:p>
            <w:pPr>
              <w:spacing w:after="0"/>
            </w:pPr>
            <w:r/>
            <w:r>
              <w:rPr>
                <w:rFonts w:ascii="Carlito" w:hAnsi="Carlito"/>
                <w:b w:val="0"/>
                <w:color w:val="232323"/>
                <w:sz w:val="17"/>
              </w:rPr>
              <w:t>Calibration / Brier score</w:t>
            </w:r>
          </w:p>
        </w:tc>
        <w:tc>
          <w:tcPr>
            <w:tcW w:type="dxa" w:w="7200"/>
            <w:vAlign w:val="center"/>
          </w:tcPr>
          <w:p>
            <w:pPr>
              <w:spacing w:after="0"/>
            </w:pPr>
            <w:r/>
            <w:r>
              <w:rPr>
                <w:rFonts w:ascii="Carlito" w:hAnsi="Carlito"/>
                <w:b w:val="0"/>
                <w:color w:val="232323"/>
                <w:sz w:val="17"/>
              </w:rPr>
              <w:t>Optional probability-quality analysis</w:t>
            </w:r>
          </w:p>
        </w:tc>
      </w:tr>
    </w:tbl>
    <w:p>
      <w:pPr>
        <w:spacing w:after="0"/>
      </w:pPr>
    </w:p>
    <w:p>
      <w:pPr>
        <w:pStyle w:val="Heading2"/>
        <w:keepNext/>
      </w:pPr>
      <w:r>
        <w:t>15.5 Subject-level prediction</w:t>
      </w:r>
    </w:p>
    <w:p>
      <w:pPr>
        <w:spacing w:after="110"/>
      </w:pPr>
      <w:r>
        <w:rPr>
          <w:rFonts w:ascii="Carlito" w:hAnsi="Carlito"/>
          <w:i w:val="0"/>
          <w:sz w:val="20"/>
        </w:rPr>
        <w:t>If a model is trained on windows, generate a probability for each window and aggregate probabilities within each held-out subject (mean or median fixed in advance). Calculate the headline metrics once per subject. Also report sensitivity to aggregation choice as a secondary analysis.</w:t>
      </w:r>
    </w:p>
    <w:p>
      <w:pPr>
        <w:pStyle w:val="Heading1"/>
        <w:keepNext/>
      </w:pPr>
      <w:r>
        <w:t>16. Validation and Leakage Prevention</w:t>
      </w:r>
    </w:p>
    <w:p>
      <w:pPr>
        <w:jc w:val="center"/>
      </w:pPr>
      <w:r>
        <w:drawing>
          <wp:inline xmlns:a="http://schemas.openxmlformats.org/drawingml/2006/main" xmlns:pic="http://schemas.openxmlformats.org/drawingml/2006/picture">
            <wp:extent cx="6309360" cy="3361061"/>
            <wp:docPr id="2" name="Picture 2"/>
            <wp:cNvGraphicFramePr>
              <a:graphicFrameLocks noChangeAspect="1"/>
            </wp:cNvGraphicFramePr>
            <a:graphic>
              <a:graphicData uri="http://schemas.openxmlformats.org/drawingml/2006/picture">
                <pic:pic>
                  <pic:nvPicPr>
                    <pic:cNvPr id="0" name="validation_firewall.png"/>
                    <pic:cNvPicPr/>
                  </pic:nvPicPr>
                  <pic:blipFill>
                    <a:blip r:embed="rId12"/>
                    <a:stretch>
                      <a:fillRect/>
                    </a:stretch>
                  </pic:blipFill>
                  <pic:spPr>
                    <a:xfrm>
                      <a:off x="0" y="0"/>
                      <a:ext cx="6309360" cy="3361061"/>
                    </a:xfrm>
                    <a:prstGeom prst="rect"/>
                  </pic:spPr>
                </pic:pic>
              </a:graphicData>
            </a:graphic>
          </wp:inline>
        </w:drawing>
      </w:r>
    </w:p>
    <w:p>
      <w:pPr>
        <w:jc w:val="center"/>
      </w:pPr>
      <w:r>
        <w:rPr>
          <w:rFonts w:ascii="Carlito" w:hAnsi="Carlito"/>
          <w:i/>
          <w:color w:val="5A5A5A"/>
          <w:sz w:val="17"/>
        </w:rPr>
        <w:t>Figure 2. Validation firewall. Test subjects remain untouched until final outer-fold evaluation.</w:t>
      </w:r>
    </w:p>
    <w:p>
      <w:pPr>
        <w:pStyle w:val="Heading2"/>
        <w:keepNext/>
      </w:pPr>
      <w:r>
        <w:t>16.1 Direct replication validation</w:t>
      </w:r>
    </w:p>
    <w:p>
      <w:pPr>
        <w:spacing w:after="110"/>
      </w:pPr>
      <w:r>
        <w:rPr>
          <w:rFonts w:ascii="Carlito" w:hAnsi="Carlito"/>
          <w:i w:val="0"/>
          <w:sz w:val="20"/>
        </w:rPr>
        <w:t>Use LOSO for a direct DICE-style benchmark. Every window from the held-out subject belongs to the test set; none can appear in training or validation.</w:t>
      </w:r>
    </w:p>
    <w:p>
      <w:pPr>
        <w:pStyle w:val="Heading2"/>
        <w:keepNext/>
      </w:pPr>
      <w:r>
        <w:t>16.2 Main final validation</w:t>
      </w:r>
    </w:p>
    <w:p>
      <w:pPr>
        <w:spacing w:after="110"/>
      </w:pPr>
      <w:r>
        <w:rPr>
          <w:rFonts w:ascii="Carlito" w:hAnsi="Carlito"/>
          <w:i w:val="0"/>
          <w:sz w:val="20"/>
        </w:rPr>
        <w:t>Use nested subject-wise cross-validation for the final feature and montage comparisons. A practical setup is outer StratifiedGroupKFold (for example 5 folds, repeated if computationally feasible) with inner subject-wise CV for hyperparameters and selection. With only 88 subjects, confidence intervals and fold variability are essential.</w:t>
      </w:r>
    </w:p>
    <w:p>
      <w:pPr>
        <w:pStyle w:val="Heading2"/>
        <w:keepNext/>
      </w:pPr>
      <w:r>
        <w:t>16.3 Leakage checklist</w:t>
      </w:r>
    </w:p>
    <w:p>
      <w:pPr>
        <w:pStyle w:val="ListBullet"/>
        <w:spacing w:after="40"/>
      </w:pPr>
      <w:r>
        <w:rPr>
          <w:rFonts w:ascii="Carlito" w:hAnsi="Carlito"/>
          <w:sz w:val="20"/>
        </w:rPr>
        <w:t>Group splits by subject_id, never by window_id.</w:t>
      </w:r>
    </w:p>
    <w:p>
      <w:pPr>
        <w:pStyle w:val="ListBullet"/>
        <w:spacing w:after="40"/>
      </w:pPr>
      <w:r>
        <w:rPr>
          <w:rFonts w:ascii="Carlito" w:hAnsi="Carlito"/>
          <w:sz w:val="20"/>
        </w:rPr>
        <w:t>Fit scaler only on outer-training data.</w:t>
      </w:r>
    </w:p>
    <w:p>
      <w:pPr>
        <w:pStyle w:val="ListBullet"/>
        <w:spacing w:after="40"/>
      </w:pPr>
      <w:r>
        <w:rPr>
          <w:rFonts w:ascii="Carlito" w:hAnsi="Carlito"/>
          <w:sz w:val="20"/>
        </w:rPr>
        <w:t>Fit missing-value imputer only on outer-training data.</w:t>
      </w:r>
    </w:p>
    <w:p>
      <w:pPr>
        <w:pStyle w:val="ListBullet"/>
        <w:spacing w:after="40"/>
      </w:pPr>
      <w:r>
        <w:rPr>
          <w:rFonts w:ascii="Carlito" w:hAnsi="Carlito"/>
          <w:sz w:val="20"/>
        </w:rPr>
        <w:t>Select biomarkers only on outer-training data.</w:t>
      </w:r>
    </w:p>
    <w:p>
      <w:pPr>
        <w:pStyle w:val="ListBullet"/>
        <w:spacing w:after="40"/>
      </w:pPr>
      <w:r>
        <w:rPr>
          <w:rFonts w:ascii="Carlito" w:hAnsi="Carlito"/>
          <w:sz w:val="20"/>
        </w:rPr>
        <w:t>Select electrodes only on outer-training data.</w:t>
      </w:r>
    </w:p>
    <w:p>
      <w:pPr>
        <w:pStyle w:val="ListBullet"/>
        <w:spacing w:after="40"/>
      </w:pPr>
      <w:r>
        <w:rPr>
          <w:rFonts w:ascii="Carlito" w:hAnsi="Carlito"/>
          <w:sz w:val="20"/>
        </w:rPr>
        <w:t>Tune model hyperparameters only in inner CV.</w:t>
      </w:r>
    </w:p>
    <w:p>
      <w:pPr>
        <w:pStyle w:val="ListBullet"/>
        <w:spacing w:after="40"/>
      </w:pPr>
      <w:r>
        <w:rPr>
          <w:rFonts w:ascii="Carlito" w:hAnsi="Carlito"/>
          <w:sz w:val="20"/>
        </w:rPr>
        <w:t>Do not choose the probability threshold using outer-test predictions.</w:t>
      </w:r>
    </w:p>
    <w:p>
      <w:pPr>
        <w:pStyle w:val="ListBullet"/>
        <w:spacing w:after="40"/>
      </w:pPr>
      <w:r>
        <w:rPr>
          <w:rFonts w:ascii="Carlito" w:hAnsi="Carlito"/>
          <w:sz w:val="20"/>
        </w:rPr>
        <w:t>Do not use the full dataset to decide a montage and then treat CV performance as unbiased.</w:t>
      </w:r>
    </w:p>
    <w:p>
      <w:pPr>
        <w:pStyle w:val="Heading2"/>
        <w:keepNext/>
      </w:pPr>
      <w:r>
        <w:t>16.4 Unequal-duration leakage/weighting issue</w:t>
      </w:r>
    </w:p>
    <w:p>
      <w:pPr>
        <w:spacing w:after="110"/>
      </w:pPr>
      <w:r>
        <w:rPr>
          <w:rFonts w:ascii="Carlito" w:hAnsi="Carlito"/>
          <w:i w:val="0"/>
          <w:sz w:val="20"/>
        </w:rPr>
        <w:t>Because recordings differ in duration, the number of windows per subject must not implicitly act as a sample weight unless this is intentionally designed. Use subject-balanced sampling or subject-level feature summaries, and repeat the main result with equal windows per subject as a sensitivity analysis.</w:t>
      </w:r>
    </w:p>
    <w:p>
      <w:pPr>
        <w:pStyle w:val="Heading1"/>
        <w:keepNext/>
      </w:pPr>
      <w:r>
        <w:t>17. Robust Biomarker Decision Framework</w:t>
      </w:r>
    </w:p>
    <w:p>
      <w:pPr>
        <w:spacing w:after="110"/>
      </w:pPr>
      <w:r>
        <w:rPr>
          <w:rFonts w:ascii="Carlito" w:hAnsi="Carlito"/>
          <w:i w:val="0"/>
          <w:sz w:val="20"/>
        </w:rPr>
        <w:t>A feature should not be called a robust biomarker merely because it is significant or highly ranked by a classifier. Use a multi-criterion evidence table.</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2016"/>
            <w:vAlign w:val="center"/>
            <w:shd w:fill="1B3A6B"/>
          </w:tcPr>
          <w:p>
            <w:pPr>
              <w:spacing w:after="0"/>
            </w:pPr>
            <w:r/>
            <w:r>
              <w:rPr>
                <w:rFonts w:ascii="Carlito" w:hAnsi="Carlito"/>
                <w:b/>
                <w:color w:val="FFFFFF"/>
                <w:sz w:val="18"/>
              </w:rPr>
              <w:t>Criterion</w:t>
            </w:r>
          </w:p>
        </w:tc>
        <w:tc>
          <w:tcPr>
            <w:tcW w:type="dxa" w:w="5256"/>
            <w:vAlign w:val="center"/>
            <w:shd w:fill="1B3A6B"/>
          </w:tcPr>
          <w:p>
            <w:pPr>
              <w:spacing w:after="0"/>
            </w:pPr>
            <w:r/>
            <w:r>
              <w:rPr>
                <w:rFonts w:ascii="Carlito" w:hAnsi="Carlito"/>
                <w:b/>
                <w:color w:val="FFFFFF"/>
                <w:sz w:val="18"/>
              </w:rPr>
              <w:t>Question</w:t>
            </w:r>
          </w:p>
        </w:tc>
        <w:tc>
          <w:tcPr>
            <w:tcW w:type="dxa" w:w="2808"/>
            <w:vAlign w:val="center"/>
            <w:shd w:fill="1B3A6B"/>
          </w:tcPr>
          <w:p>
            <w:pPr>
              <w:spacing w:after="0"/>
            </w:pPr>
            <w:r/>
            <w:r>
              <w:rPr>
                <w:rFonts w:ascii="Carlito" w:hAnsi="Carlito"/>
                <w:b/>
                <w:color w:val="FFFFFF"/>
                <w:sz w:val="18"/>
              </w:rPr>
              <w:t>Possible status</w:t>
            </w:r>
          </w:p>
        </w:tc>
      </w:tr>
      <w:tr>
        <w:trPr>
          <w:cantSplit/>
        </w:trPr>
        <w:tc>
          <w:tcPr>
            <w:tcW w:type="dxa" w:w="2016"/>
            <w:vAlign w:val="center"/>
          </w:tcPr>
          <w:p>
            <w:pPr>
              <w:spacing w:after="0"/>
            </w:pPr>
            <w:r/>
            <w:r>
              <w:rPr>
                <w:rFonts w:ascii="Carlito" w:hAnsi="Carlito"/>
                <w:b w:val="0"/>
                <w:color w:val="232323"/>
                <w:sz w:val="17"/>
              </w:rPr>
              <w:t>Replication</w:t>
            </w:r>
          </w:p>
        </w:tc>
        <w:tc>
          <w:tcPr>
            <w:tcW w:type="dxa" w:w="5256"/>
            <w:vAlign w:val="center"/>
          </w:tcPr>
          <w:p>
            <w:pPr>
              <w:spacing w:after="0"/>
            </w:pPr>
            <w:r/>
            <w:r>
              <w:rPr>
                <w:rFonts w:ascii="Carlito" w:hAnsi="Carlito"/>
                <w:b w:val="0"/>
                <w:color w:val="232323"/>
                <w:sz w:val="17"/>
              </w:rPr>
              <w:t>Does it reproduce the DICE-style AD-CN direction?</w:t>
            </w:r>
          </w:p>
        </w:tc>
        <w:tc>
          <w:tcPr>
            <w:tcW w:type="dxa" w:w="2808"/>
            <w:vAlign w:val="center"/>
          </w:tcPr>
          <w:p>
            <w:pPr>
              <w:spacing w:after="0"/>
            </w:pPr>
            <w:r/>
            <w:r>
              <w:rPr>
                <w:rFonts w:ascii="Carlito" w:hAnsi="Carlito"/>
                <w:b w:val="0"/>
                <w:color w:val="232323"/>
                <w:sz w:val="17"/>
              </w:rPr>
              <w:t>Pass / fail / mixed</w:t>
            </w:r>
          </w:p>
        </w:tc>
      </w:tr>
      <w:tr>
        <w:trPr>
          <w:cantSplit/>
        </w:trPr>
        <w:tc>
          <w:tcPr>
            <w:tcW w:type="dxa" w:w="2016"/>
            <w:vAlign w:val="center"/>
            <w:shd w:fill="F4F6F8"/>
          </w:tcPr>
          <w:p>
            <w:pPr>
              <w:spacing w:after="0"/>
            </w:pPr>
            <w:r/>
            <w:r>
              <w:rPr>
                <w:rFonts w:ascii="Carlito" w:hAnsi="Carlito"/>
                <w:b w:val="0"/>
                <w:color w:val="232323"/>
                <w:sz w:val="17"/>
              </w:rPr>
              <w:t>Effect size</w:t>
            </w:r>
          </w:p>
        </w:tc>
        <w:tc>
          <w:tcPr>
            <w:tcW w:type="dxa" w:w="5256"/>
            <w:vAlign w:val="center"/>
            <w:shd w:fill="F4F6F8"/>
          </w:tcPr>
          <w:p>
            <w:pPr>
              <w:spacing w:after="0"/>
            </w:pPr>
            <w:r/>
            <w:r>
              <w:rPr>
                <w:rFonts w:ascii="Carlito" w:hAnsi="Carlito"/>
                <w:b w:val="0"/>
                <w:color w:val="232323"/>
                <w:sz w:val="17"/>
              </w:rPr>
              <w:t>Is the subject-level difference practically meaningful?</w:t>
            </w:r>
          </w:p>
        </w:tc>
        <w:tc>
          <w:tcPr>
            <w:tcW w:type="dxa" w:w="2808"/>
            <w:vAlign w:val="center"/>
            <w:shd w:fill="F4F6F8"/>
          </w:tcPr>
          <w:p>
            <w:pPr>
              <w:spacing w:after="0"/>
            </w:pPr>
            <w:r/>
            <w:r>
              <w:rPr>
                <w:rFonts w:ascii="Carlito" w:hAnsi="Carlito"/>
                <w:b w:val="0"/>
                <w:color w:val="232323"/>
                <w:sz w:val="17"/>
              </w:rPr>
              <w:t>Small / medium / large with CI</w:t>
            </w:r>
          </w:p>
        </w:tc>
      </w:tr>
      <w:tr>
        <w:trPr>
          <w:cantSplit/>
        </w:trPr>
        <w:tc>
          <w:tcPr>
            <w:tcW w:type="dxa" w:w="2016"/>
            <w:vAlign w:val="center"/>
          </w:tcPr>
          <w:p>
            <w:pPr>
              <w:spacing w:after="0"/>
            </w:pPr>
            <w:r/>
            <w:r>
              <w:rPr>
                <w:rFonts w:ascii="Carlito" w:hAnsi="Carlito"/>
                <w:b w:val="0"/>
                <w:color w:val="232323"/>
                <w:sz w:val="17"/>
              </w:rPr>
              <w:t>Method stability</w:t>
            </w:r>
          </w:p>
        </w:tc>
        <w:tc>
          <w:tcPr>
            <w:tcW w:type="dxa" w:w="5256"/>
            <w:vAlign w:val="center"/>
          </w:tcPr>
          <w:p>
            <w:pPr>
              <w:spacing w:after="0"/>
            </w:pPr>
            <w:r/>
            <w:r>
              <w:rPr>
                <w:rFonts w:ascii="Carlito" w:hAnsi="Carlito"/>
                <w:b w:val="0"/>
                <w:color w:val="232323"/>
                <w:sz w:val="17"/>
              </w:rPr>
              <w:t>Does it survive RBP vs absolute/IAF/aperiodic changes?</w:t>
            </w:r>
          </w:p>
        </w:tc>
        <w:tc>
          <w:tcPr>
            <w:tcW w:type="dxa" w:w="2808"/>
            <w:vAlign w:val="center"/>
          </w:tcPr>
          <w:p>
            <w:pPr>
              <w:spacing w:after="0"/>
            </w:pPr>
            <w:r/>
            <w:r>
              <w:rPr>
                <w:rFonts w:ascii="Carlito" w:hAnsi="Carlito"/>
                <w:b w:val="0"/>
                <w:color w:val="232323"/>
                <w:sz w:val="17"/>
              </w:rPr>
              <w:t>Stable / sensitive</w:t>
            </w:r>
          </w:p>
        </w:tc>
      </w:tr>
      <w:tr>
        <w:trPr>
          <w:cantSplit/>
        </w:trPr>
        <w:tc>
          <w:tcPr>
            <w:tcW w:type="dxa" w:w="2016"/>
            <w:vAlign w:val="center"/>
            <w:shd w:fill="F4F6F8"/>
          </w:tcPr>
          <w:p>
            <w:pPr>
              <w:spacing w:after="0"/>
            </w:pPr>
            <w:r/>
            <w:r>
              <w:rPr>
                <w:rFonts w:ascii="Carlito" w:hAnsi="Carlito"/>
                <w:b w:val="0"/>
                <w:color w:val="232323"/>
                <w:sz w:val="17"/>
              </w:rPr>
              <w:t>Connectivity stability</w:t>
            </w:r>
          </w:p>
        </w:tc>
        <w:tc>
          <w:tcPr>
            <w:tcW w:type="dxa" w:w="5256"/>
            <w:vAlign w:val="center"/>
            <w:shd w:fill="F4F6F8"/>
          </w:tcPr>
          <w:p>
            <w:pPr>
              <w:spacing w:after="0"/>
            </w:pPr>
            <w:r/>
            <w:r>
              <w:rPr>
                <w:rFonts w:ascii="Carlito" w:hAnsi="Carlito"/>
                <w:b w:val="0"/>
                <w:color w:val="232323"/>
                <w:sz w:val="17"/>
              </w:rPr>
              <w:t>Does it survive SCC vs lagged measures/reference?</w:t>
            </w:r>
          </w:p>
        </w:tc>
        <w:tc>
          <w:tcPr>
            <w:tcW w:type="dxa" w:w="2808"/>
            <w:vAlign w:val="center"/>
            <w:shd w:fill="F4F6F8"/>
          </w:tcPr>
          <w:p>
            <w:pPr>
              <w:spacing w:after="0"/>
            </w:pPr>
            <w:r/>
            <w:r>
              <w:rPr>
                <w:rFonts w:ascii="Carlito" w:hAnsi="Carlito"/>
                <w:b w:val="0"/>
                <w:color w:val="232323"/>
                <w:sz w:val="17"/>
              </w:rPr>
              <w:t>Stable / sensitive</w:t>
            </w:r>
          </w:p>
        </w:tc>
      </w:tr>
      <w:tr>
        <w:trPr>
          <w:cantSplit/>
        </w:trPr>
        <w:tc>
          <w:tcPr>
            <w:tcW w:type="dxa" w:w="2016"/>
            <w:vAlign w:val="center"/>
          </w:tcPr>
          <w:p>
            <w:pPr>
              <w:spacing w:after="0"/>
            </w:pPr>
            <w:r/>
            <w:r>
              <w:rPr>
                <w:rFonts w:ascii="Carlito" w:hAnsi="Carlito"/>
                <w:b w:val="0"/>
                <w:color w:val="232323"/>
                <w:sz w:val="17"/>
              </w:rPr>
              <w:t>Specificity</w:t>
            </w:r>
          </w:p>
        </w:tc>
        <w:tc>
          <w:tcPr>
            <w:tcW w:type="dxa" w:w="5256"/>
            <w:vAlign w:val="center"/>
          </w:tcPr>
          <w:p>
            <w:pPr>
              <w:spacing w:after="0"/>
            </w:pPr>
            <w:r/>
            <w:r>
              <w:rPr>
                <w:rFonts w:ascii="Carlito" w:hAnsi="Carlito"/>
                <w:b w:val="0"/>
                <w:color w:val="232323"/>
                <w:sz w:val="17"/>
              </w:rPr>
              <w:t>Does it distinguish AD from FTD?</w:t>
            </w:r>
          </w:p>
        </w:tc>
        <w:tc>
          <w:tcPr>
            <w:tcW w:type="dxa" w:w="2808"/>
            <w:vAlign w:val="center"/>
          </w:tcPr>
          <w:p>
            <w:pPr>
              <w:spacing w:after="0"/>
            </w:pPr>
            <w:r/>
            <w:r>
              <w:rPr>
                <w:rFonts w:ascii="Carlito" w:hAnsi="Carlito"/>
                <w:b w:val="0"/>
                <w:color w:val="232323"/>
                <w:sz w:val="17"/>
              </w:rPr>
              <w:t>AD-specific / dementia-associated / unclear</w:t>
            </w:r>
          </w:p>
        </w:tc>
      </w:tr>
      <w:tr>
        <w:trPr>
          <w:cantSplit/>
        </w:trPr>
        <w:tc>
          <w:tcPr>
            <w:tcW w:type="dxa" w:w="2016"/>
            <w:vAlign w:val="center"/>
            <w:shd w:fill="F4F6F8"/>
          </w:tcPr>
          <w:p>
            <w:pPr>
              <w:spacing w:after="0"/>
            </w:pPr>
            <w:r/>
            <w:r>
              <w:rPr>
                <w:rFonts w:ascii="Carlito" w:hAnsi="Carlito"/>
                <w:b w:val="0"/>
                <w:color w:val="232323"/>
                <w:sz w:val="17"/>
              </w:rPr>
              <w:t>Clinical relevance</w:t>
            </w:r>
          </w:p>
        </w:tc>
        <w:tc>
          <w:tcPr>
            <w:tcW w:type="dxa" w:w="5256"/>
            <w:vAlign w:val="center"/>
            <w:shd w:fill="F4F6F8"/>
          </w:tcPr>
          <w:p>
            <w:pPr>
              <w:spacing w:after="0"/>
            </w:pPr>
            <w:r/>
            <w:r>
              <w:rPr>
                <w:rFonts w:ascii="Carlito" w:hAnsi="Carlito"/>
                <w:b w:val="0"/>
                <w:color w:val="232323"/>
                <w:sz w:val="17"/>
              </w:rPr>
              <w:t>Is it associated with MMSE among patients?</w:t>
            </w:r>
          </w:p>
        </w:tc>
        <w:tc>
          <w:tcPr>
            <w:tcW w:type="dxa" w:w="2808"/>
            <w:vAlign w:val="center"/>
            <w:shd w:fill="F4F6F8"/>
          </w:tcPr>
          <w:p>
            <w:pPr>
              <w:spacing w:after="0"/>
            </w:pPr>
            <w:r/>
            <w:r>
              <w:rPr>
                <w:rFonts w:ascii="Carlito" w:hAnsi="Carlito"/>
                <w:b w:val="0"/>
                <w:color w:val="232323"/>
                <w:sz w:val="17"/>
              </w:rPr>
              <w:t>Supported / unsupported / uncertain</w:t>
            </w:r>
          </w:p>
        </w:tc>
      </w:tr>
      <w:tr>
        <w:trPr>
          <w:cantSplit/>
        </w:trPr>
        <w:tc>
          <w:tcPr>
            <w:tcW w:type="dxa" w:w="2016"/>
            <w:vAlign w:val="center"/>
          </w:tcPr>
          <w:p>
            <w:pPr>
              <w:spacing w:after="0"/>
            </w:pPr>
            <w:r/>
            <w:r>
              <w:rPr>
                <w:rFonts w:ascii="Carlito" w:hAnsi="Carlito"/>
                <w:b w:val="0"/>
                <w:color w:val="232323"/>
                <w:sz w:val="17"/>
              </w:rPr>
              <w:t>Predictive increment</w:t>
            </w:r>
          </w:p>
        </w:tc>
        <w:tc>
          <w:tcPr>
            <w:tcW w:type="dxa" w:w="5256"/>
            <w:vAlign w:val="center"/>
          </w:tcPr>
          <w:p>
            <w:pPr>
              <w:spacing w:after="0"/>
            </w:pPr>
            <w:r/>
            <w:r>
              <w:rPr>
                <w:rFonts w:ascii="Carlito" w:hAnsi="Carlito"/>
                <w:b w:val="0"/>
                <w:color w:val="232323"/>
                <w:sz w:val="17"/>
              </w:rPr>
              <w:t>Does it improve nested-CV performance beyond simpler features?</w:t>
            </w:r>
          </w:p>
        </w:tc>
        <w:tc>
          <w:tcPr>
            <w:tcW w:type="dxa" w:w="2808"/>
            <w:vAlign w:val="center"/>
          </w:tcPr>
          <w:p>
            <w:pPr>
              <w:spacing w:after="0"/>
            </w:pPr>
            <w:r/>
            <w:r>
              <w:rPr>
                <w:rFonts w:ascii="Carlito" w:hAnsi="Carlito"/>
                <w:b w:val="0"/>
                <w:color w:val="232323"/>
                <w:sz w:val="17"/>
              </w:rPr>
              <w:t>Adds value / redundant</w:t>
            </w:r>
          </w:p>
        </w:tc>
      </w:tr>
      <w:tr>
        <w:trPr>
          <w:cantSplit/>
        </w:trPr>
        <w:tc>
          <w:tcPr>
            <w:tcW w:type="dxa" w:w="2016"/>
            <w:vAlign w:val="center"/>
            <w:shd w:fill="F4F6F8"/>
          </w:tcPr>
          <w:p>
            <w:pPr>
              <w:spacing w:after="0"/>
            </w:pPr>
            <w:r/>
            <w:r>
              <w:rPr>
                <w:rFonts w:ascii="Carlito" w:hAnsi="Carlito"/>
                <w:b w:val="0"/>
                <w:color w:val="232323"/>
                <w:sz w:val="17"/>
              </w:rPr>
              <w:t>Selection stability</w:t>
            </w:r>
          </w:p>
        </w:tc>
        <w:tc>
          <w:tcPr>
            <w:tcW w:type="dxa" w:w="5256"/>
            <w:vAlign w:val="center"/>
            <w:shd w:fill="F4F6F8"/>
          </w:tcPr>
          <w:p>
            <w:pPr>
              <w:spacing w:after="0"/>
            </w:pPr>
            <w:r/>
            <w:r>
              <w:rPr>
                <w:rFonts w:ascii="Carlito" w:hAnsi="Carlito"/>
                <w:b w:val="0"/>
                <w:color w:val="232323"/>
                <w:sz w:val="17"/>
              </w:rPr>
              <w:t>Is it repeatedly selected across folds/bootstraps?</w:t>
            </w:r>
          </w:p>
        </w:tc>
        <w:tc>
          <w:tcPr>
            <w:tcW w:type="dxa" w:w="2808"/>
            <w:vAlign w:val="center"/>
            <w:shd w:fill="F4F6F8"/>
          </w:tcPr>
          <w:p>
            <w:pPr>
              <w:spacing w:after="0"/>
            </w:pPr>
            <w:r/>
            <w:r>
              <w:rPr>
                <w:rFonts w:ascii="Carlito" w:hAnsi="Carlito"/>
                <w:b w:val="0"/>
                <w:color w:val="232323"/>
                <w:sz w:val="17"/>
              </w:rPr>
              <w:t>Stable / unstable</w:t>
            </w:r>
          </w:p>
        </w:tc>
      </w:tr>
    </w:tbl>
    <w:p>
      <w:pPr>
        <w:spacing w:after="0"/>
      </w:pPr>
    </w:p>
    <w:p>
      <w:pPr>
        <w:pStyle w:val="Heading2"/>
        <w:keepNext/>
      </w:pPr>
      <w:r>
        <w:t>17.1 Proposed classification of final features</w:t>
      </w:r>
    </w:p>
    <w:p>
      <w:pPr>
        <w:pStyle w:val="ListBullet"/>
        <w:spacing w:after="40"/>
      </w:pPr>
      <w:r>
        <w:rPr>
          <w:rFonts w:ascii="Carlito" w:hAnsi="Carlito"/>
          <w:sz w:val="20"/>
        </w:rPr>
        <w:t>Tier A - robust: consistent biology, method stability, reasonable uncertainty, and either clinical or predictive relevance.</w:t>
      </w:r>
    </w:p>
    <w:p>
      <w:pPr>
        <w:pStyle w:val="ListBullet"/>
        <w:spacing w:after="40"/>
      </w:pPr>
      <w:r>
        <w:rPr>
          <w:rFonts w:ascii="Carlito" w:hAnsi="Carlito"/>
          <w:sz w:val="20"/>
        </w:rPr>
        <w:t>Tier B - useful but non-specific: robust dementia-related signal without AD-vs-FTD specificity.</w:t>
      </w:r>
    </w:p>
    <w:p>
      <w:pPr>
        <w:pStyle w:val="ListBullet"/>
        <w:spacing w:after="40"/>
      </w:pPr>
      <w:r>
        <w:rPr>
          <w:rFonts w:ascii="Carlito" w:hAnsi="Carlito"/>
          <w:sz w:val="20"/>
        </w:rPr>
        <w:t>Tier C - predictive only: improves ML but lacks stable physiological interpretation.</w:t>
      </w:r>
    </w:p>
    <w:p>
      <w:pPr>
        <w:pStyle w:val="ListBullet"/>
        <w:spacing w:after="40"/>
      </w:pPr>
      <w:r>
        <w:rPr>
          <w:rFonts w:ascii="Carlito" w:hAnsi="Carlito"/>
          <w:sz w:val="20"/>
        </w:rPr>
        <w:t>Tier D - method-sensitive: direction/effect changes substantially with frequency definitions, reference, or connectivity estimator.</w:t>
      </w:r>
    </w:p>
    <w:tbl>
      <w:tblPr>
        <w:tblW w:type="auto" w:w="0"/>
        <w:jc w:val="center"/>
        <w:tblLook w:firstColumn="1" w:firstRow="1" w:lastColumn="0" w:lastRow="0" w:noHBand="0" w:noVBand="1" w:val="04A0"/>
      </w:tblPr>
      <w:tblGrid>
        <w:gridCol w:w="9994"/>
      </w:tblGrid>
      <w:tr>
        <w:trPr>
          <w:cantSplit/>
        </w:trPr>
        <w:tc>
          <w:tcPr>
            <w:tcW w:type="dxa" w:w="9994"/>
            <w:shd w:fill="EAF0F8"/>
          </w:tcPr>
          <w:p>
            <w:pPr>
              <w:spacing w:after="40"/>
            </w:pPr>
            <w:r>
              <w:rPr>
                <w:rFonts w:ascii="Carlito" w:hAnsi="Carlito"/>
                <w:b/>
                <w:color w:val="1B3A6B"/>
                <w:sz w:val="20"/>
              </w:rPr>
              <w:t xml:space="preserve">Important:  </w:t>
            </w:r>
            <w:r>
              <w:rPr>
                <w:rFonts w:ascii="Carlito" w:hAnsi="Carlito"/>
                <w:sz w:val="20"/>
              </w:rPr>
              <w:t>Do not collapse these dimensions into one arbitrary score unless the score and weights are pre-specified. A transparent evidence matrix is usually more defensible than a single biomarker score.</w:t>
            </w:r>
          </w:p>
        </w:tc>
      </w:tr>
    </w:tbl>
    <w:p>
      <w:pPr>
        <w:spacing w:after="0"/>
      </w:pPr>
    </w:p>
    <w:p>
      <w:pPr>
        <w:pStyle w:val="Heading1"/>
        <w:keepNext/>
      </w:pPr>
      <w:r>
        <w:t>18. Minimal-Electrode Optimization</w:t>
      </w:r>
    </w:p>
    <w:p>
      <w:pPr>
        <w:pStyle w:val="Heading2"/>
        <w:keepNext/>
      </w:pPr>
      <w:r>
        <w:t>18.1 When this stage starts</w:t>
      </w:r>
    </w:p>
    <w:p>
      <w:pPr>
        <w:spacing w:after="110"/>
      </w:pPr>
      <w:r>
        <w:rPr>
          <w:rFonts w:ascii="Carlito" w:hAnsi="Carlito"/>
          <w:i w:val="0"/>
          <w:sz w:val="20"/>
        </w:rPr>
        <w:t>Electrode optimization begins only after Tier A/B biomarker families have been defined. This prevents the montage from being optimized to artifacts of the original feature definitions.</w:t>
      </w:r>
    </w:p>
    <w:p>
      <w:pPr>
        <w:pStyle w:val="Heading2"/>
        <w:keepNext/>
      </w:pPr>
      <w:r>
        <w:t>18.2 Candidate strategies</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2376"/>
            <w:vAlign w:val="center"/>
            <w:shd w:fill="1B3A6B"/>
          </w:tcPr>
          <w:p>
            <w:pPr>
              <w:spacing w:after="0"/>
            </w:pPr>
            <w:r/>
            <w:r>
              <w:rPr>
                <w:rFonts w:ascii="Carlito" w:hAnsi="Carlito"/>
                <w:b/>
                <w:color w:val="FFFFFF"/>
                <w:sz w:val="18"/>
              </w:rPr>
              <w:t>Strategy</w:t>
            </w:r>
          </w:p>
        </w:tc>
        <w:tc>
          <w:tcPr>
            <w:tcW w:type="dxa" w:w="5184"/>
            <w:vAlign w:val="center"/>
            <w:shd w:fill="1B3A6B"/>
          </w:tcPr>
          <w:p>
            <w:pPr>
              <w:spacing w:after="0"/>
            </w:pPr>
            <w:r/>
            <w:r>
              <w:rPr>
                <w:rFonts w:ascii="Carlito" w:hAnsi="Carlito"/>
                <w:b/>
                <w:color w:val="FFFFFF"/>
                <w:sz w:val="18"/>
              </w:rPr>
              <w:t>Description</w:t>
            </w:r>
          </w:p>
        </w:tc>
        <w:tc>
          <w:tcPr>
            <w:tcW w:type="dxa" w:w="2520"/>
            <w:vAlign w:val="center"/>
            <w:shd w:fill="1B3A6B"/>
          </w:tcPr>
          <w:p>
            <w:pPr>
              <w:spacing w:after="0"/>
            </w:pPr>
            <w:r/>
            <w:r>
              <w:rPr>
                <w:rFonts w:ascii="Carlito" w:hAnsi="Carlito"/>
                <w:b/>
                <w:color w:val="FFFFFF"/>
                <w:sz w:val="18"/>
              </w:rPr>
              <w:t>Role</w:t>
            </w:r>
          </w:p>
        </w:tc>
      </w:tr>
      <w:tr>
        <w:trPr>
          <w:cantSplit/>
        </w:trPr>
        <w:tc>
          <w:tcPr>
            <w:tcW w:type="dxa" w:w="2376"/>
            <w:vAlign w:val="center"/>
          </w:tcPr>
          <w:p>
            <w:pPr>
              <w:spacing w:after="0"/>
            </w:pPr>
            <w:r/>
            <w:r>
              <w:rPr>
                <w:rFonts w:ascii="Carlito" w:hAnsi="Carlito"/>
                <w:b w:val="0"/>
                <w:color w:val="232323"/>
                <w:sz w:val="17"/>
              </w:rPr>
              <w:t>Single-channel screen</w:t>
            </w:r>
          </w:p>
        </w:tc>
        <w:tc>
          <w:tcPr>
            <w:tcW w:type="dxa" w:w="5184"/>
            <w:vAlign w:val="center"/>
          </w:tcPr>
          <w:p>
            <w:pPr>
              <w:spacing w:after="0"/>
            </w:pPr>
            <w:r/>
            <w:r>
              <w:rPr>
                <w:rFonts w:ascii="Carlito" w:hAnsi="Carlito"/>
                <w:b w:val="0"/>
                <w:color w:val="232323"/>
                <w:sz w:val="17"/>
              </w:rPr>
              <w:t>Estimate performance / biomarker utility from each channel alone</w:t>
            </w:r>
          </w:p>
        </w:tc>
        <w:tc>
          <w:tcPr>
            <w:tcW w:type="dxa" w:w="2520"/>
            <w:vAlign w:val="center"/>
          </w:tcPr>
          <w:p>
            <w:pPr>
              <w:spacing w:after="0"/>
            </w:pPr>
            <w:r/>
            <w:r>
              <w:rPr>
                <w:rFonts w:ascii="Carlito" w:hAnsi="Carlito"/>
                <w:b w:val="0"/>
                <w:color w:val="232323"/>
                <w:sz w:val="17"/>
              </w:rPr>
              <w:t>Interpretability and sanity check</w:t>
            </w:r>
          </w:p>
        </w:tc>
      </w:tr>
      <w:tr>
        <w:trPr>
          <w:cantSplit/>
        </w:trPr>
        <w:tc>
          <w:tcPr>
            <w:tcW w:type="dxa" w:w="2376"/>
            <w:vAlign w:val="center"/>
            <w:shd w:fill="F4F6F8"/>
          </w:tcPr>
          <w:p>
            <w:pPr>
              <w:spacing w:after="0"/>
            </w:pPr>
            <w:r/>
            <w:r>
              <w:rPr>
                <w:rFonts w:ascii="Carlito" w:hAnsi="Carlito"/>
                <w:b w:val="0"/>
                <w:color w:val="232323"/>
                <w:sz w:val="17"/>
              </w:rPr>
              <w:t>Sequential forward selection</w:t>
            </w:r>
          </w:p>
        </w:tc>
        <w:tc>
          <w:tcPr>
            <w:tcW w:type="dxa" w:w="5184"/>
            <w:vAlign w:val="center"/>
            <w:shd w:fill="F4F6F8"/>
          </w:tcPr>
          <w:p>
            <w:pPr>
              <w:spacing w:after="0"/>
            </w:pPr>
            <w:r/>
            <w:r>
              <w:rPr>
                <w:rFonts w:ascii="Carlito" w:hAnsi="Carlito"/>
                <w:b w:val="0"/>
                <w:color w:val="232323"/>
                <w:sz w:val="17"/>
              </w:rPr>
              <w:t>Add the channel that gives the greatest training-fold improvement</w:t>
            </w:r>
          </w:p>
        </w:tc>
        <w:tc>
          <w:tcPr>
            <w:tcW w:type="dxa" w:w="2520"/>
            <w:vAlign w:val="center"/>
            <w:shd w:fill="F4F6F8"/>
          </w:tcPr>
          <w:p>
            <w:pPr>
              <w:spacing w:after="0"/>
            </w:pPr>
            <w:r/>
            <w:r>
              <w:rPr>
                <w:rFonts w:ascii="Carlito" w:hAnsi="Carlito"/>
                <w:b w:val="0"/>
                <w:color w:val="232323"/>
                <w:sz w:val="17"/>
              </w:rPr>
              <w:t>Primary data-driven sparse search</w:t>
            </w:r>
          </w:p>
        </w:tc>
      </w:tr>
      <w:tr>
        <w:trPr>
          <w:cantSplit/>
        </w:trPr>
        <w:tc>
          <w:tcPr>
            <w:tcW w:type="dxa" w:w="2376"/>
            <w:vAlign w:val="center"/>
          </w:tcPr>
          <w:p>
            <w:pPr>
              <w:spacing w:after="0"/>
            </w:pPr>
            <w:r/>
            <w:r>
              <w:rPr>
                <w:rFonts w:ascii="Carlito" w:hAnsi="Carlito"/>
                <w:b w:val="0"/>
                <w:color w:val="232323"/>
                <w:sz w:val="17"/>
              </w:rPr>
              <w:t>Backward elimination</w:t>
            </w:r>
          </w:p>
        </w:tc>
        <w:tc>
          <w:tcPr>
            <w:tcW w:type="dxa" w:w="5184"/>
            <w:vAlign w:val="center"/>
          </w:tcPr>
          <w:p>
            <w:pPr>
              <w:spacing w:after="0"/>
            </w:pPr>
            <w:r/>
            <w:r>
              <w:rPr>
                <w:rFonts w:ascii="Carlito" w:hAnsi="Carlito"/>
                <w:b w:val="0"/>
                <w:color w:val="232323"/>
                <w:sz w:val="17"/>
              </w:rPr>
              <w:t>Remove the least useful channel iteratively</w:t>
            </w:r>
          </w:p>
        </w:tc>
        <w:tc>
          <w:tcPr>
            <w:tcW w:type="dxa" w:w="2520"/>
            <w:vAlign w:val="center"/>
          </w:tcPr>
          <w:p>
            <w:pPr>
              <w:spacing w:after="0"/>
            </w:pPr>
            <w:r/>
            <w:r>
              <w:rPr>
                <w:rFonts w:ascii="Carlito" w:hAnsi="Carlito"/>
                <w:b w:val="0"/>
                <w:color w:val="232323"/>
                <w:sz w:val="17"/>
              </w:rPr>
              <w:t>Cross-check selection path</w:t>
            </w:r>
          </w:p>
        </w:tc>
      </w:tr>
      <w:tr>
        <w:trPr>
          <w:cantSplit/>
        </w:trPr>
        <w:tc>
          <w:tcPr>
            <w:tcW w:type="dxa" w:w="2376"/>
            <w:vAlign w:val="center"/>
            <w:shd w:fill="F4F6F8"/>
          </w:tcPr>
          <w:p>
            <w:pPr>
              <w:spacing w:after="0"/>
            </w:pPr>
            <w:r/>
            <w:r>
              <w:rPr>
                <w:rFonts w:ascii="Carlito" w:hAnsi="Carlito"/>
                <w:b w:val="0"/>
                <w:color w:val="232323"/>
                <w:sz w:val="17"/>
              </w:rPr>
              <w:t>Predefined anatomical montages</w:t>
            </w:r>
          </w:p>
        </w:tc>
        <w:tc>
          <w:tcPr>
            <w:tcW w:type="dxa" w:w="5184"/>
            <w:vAlign w:val="center"/>
            <w:shd w:fill="F4F6F8"/>
          </w:tcPr>
          <w:p>
            <w:pPr>
              <w:spacing w:after="0"/>
            </w:pPr>
            <w:r/>
            <w:r>
              <w:rPr>
                <w:rFonts w:ascii="Carlito" w:hAnsi="Carlito"/>
                <w:b w:val="0"/>
                <w:color w:val="232323"/>
                <w:sz w:val="17"/>
              </w:rPr>
              <w:t>Frontal, posterior, temporal, midline, bilateral sparse sets</w:t>
            </w:r>
          </w:p>
        </w:tc>
        <w:tc>
          <w:tcPr>
            <w:tcW w:type="dxa" w:w="2520"/>
            <w:vAlign w:val="center"/>
            <w:shd w:fill="F4F6F8"/>
          </w:tcPr>
          <w:p>
            <w:pPr>
              <w:spacing w:after="0"/>
            </w:pPr>
            <w:r/>
            <w:r>
              <w:rPr>
                <w:rFonts w:ascii="Carlito" w:hAnsi="Carlito"/>
                <w:b w:val="0"/>
                <w:color w:val="232323"/>
                <w:sz w:val="17"/>
              </w:rPr>
              <w:t>Clinical/practical comparison</w:t>
            </w:r>
          </w:p>
        </w:tc>
      </w:tr>
      <w:tr>
        <w:trPr>
          <w:cantSplit/>
        </w:trPr>
        <w:tc>
          <w:tcPr>
            <w:tcW w:type="dxa" w:w="2376"/>
            <w:vAlign w:val="center"/>
          </w:tcPr>
          <w:p>
            <w:pPr>
              <w:spacing w:after="0"/>
            </w:pPr>
            <w:r/>
            <w:r>
              <w:rPr>
                <w:rFonts w:ascii="Carlito" w:hAnsi="Carlito"/>
                <w:b w:val="0"/>
                <w:color w:val="232323"/>
                <w:sz w:val="17"/>
              </w:rPr>
              <w:t>DICE hypothesis montage</w:t>
            </w:r>
          </w:p>
        </w:tc>
        <w:tc>
          <w:tcPr>
            <w:tcW w:type="dxa" w:w="5184"/>
            <w:vAlign w:val="center"/>
          </w:tcPr>
          <w:p>
            <w:pPr>
              <w:spacing w:after="0"/>
            </w:pPr>
            <w:r/>
            <w:r>
              <w:rPr>
                <w:rFonts w:ascii="Carlito" w:hAnsi="Carlito"/>
                <w:b w:val="0"/>
                <w:color w:val="232323"/>
                <w:sz w:val="17"/>
              </w:rPr>
              <w:t>Test high-attention channels reported by DICE: T5, O1, O2, T4, F8</w:t>
            </w:r>
          </w:p>
        </w:tc>
        <w:tc>
          <w:tcPr>
            <w:tcW w:type="dxa" w:w="2520"/>
            <w:vAlign w:val="center"/>
          </w:tcPr>
          <w:p>
            <w:pPr>
              <w:spacing w:after="0"/>
            </w:pPr>
            <w:r/>
            <w:r>
              <w:rPr>
                <w:rFonts w:ascii="Carlito" w:hAnsi="Carlito"/>
                <w:b w:val="0"/>
                <w:color w:val="232323"/>
                <w:sz w:val="17"/>
              </w:rPr>
              <w:t>Literature-informed baseline</w:t>
            </w:r>
          </w:p>
        </w:tc>
      </w:tr>
    </w:tbl>
    <w:p>
      <w:pPr>
        <w:spacing w:after="0"/>
      </w:pPr>
    </w:p>
    <w:p>
      <w:pPr>
        <w:pStyle w:val="Heading2"/>
        <w:keepNext/>
      </w:pPr>
      <w:r>
        <w:t>18.3 Do not optimize accuracy alone</w:t>
      </w:r>
    </w:p>
    <w:p>
      <w:pPr>
        <w:spacing w:after="110"/>
      </w:pPr>
      <w:r>
        <w:rPr>
          <w:rFonts w:ascii="Carlito" w:hAnsi="Carlito"/>
          <w:i w:val="0"/>
          <w:sz w:val="20"/>
        </w:rPr>
        <w:t>For electrode subset S, track at least two dimensions:</w:t>
      </w:r>
    </w:p>
    <w:p>
      <w:pPr>
        <w:pStyle w:val="CodeBlock"/>
        <w:shd w:fill="F3F4F6"/>
      </w:pPr>
      <w:r>
        <w:rPr>
          <w:rFonts w:ascii="DejaVu Sans Mono" w:hAnsi="DejaVu Sans Mono"/>
          <w:sz w:val="17"/>
        </w:rPr>
        <w:t>Diagnostic preservation:</w:t>
      </w:r>
      <w:r>
        <w:br/>
      </w:r>
      <w:r>
        <w:rPr>
          <w:rFonts w:ascii="DejaVu Sans Mono" w:hAnsi="DejaVu Sans Mono"/>
          <w:sz w:val="17"/>
        </w:rPr>
        <w:t>Delta_BA(S) = BA_19ch - BA_S</w:t>
      </w:r>
      <w:r>
        <w:br/>
      </w:r>
      <w:r>
        <w:rPr>
          <w:rFonts w:ascii="DejaVu Sans Mono" w:hAnsi="DejaVu Sans Mono"/>
          <w:sz w:val="17"/>
        </w:rPr>
      </w:r>
      <w:r>
        <w:br/>
      </w:r>
      <w:r>
        <w:rPr>
          <w:rFonts w:ascii="DejaVu Sans Mono" w:hAnsi="DejaVu Sans Mono"/>
          <w:sz w:val="17"/>
        </w:rPr>
        <w:t>Biomarker preservation:</w:t>
      </w:r>
      <w:r>
        <w:br/>
      </w:r>
      <w:r>
        <w:rPr>
          <w:rFonts w:ascii="DejaVu Sans Mono" w:hAnsi="DejaVu Sans Mono"/>
          <w:sz w:val="17"/>
        </w:rPr>
        <w:t>compare subject-level biomarker values/effect sizes under S vs 19 channels</w:t>
      </w:r>
      <w:r>
        <w:br/>
      </w:r>
      <w:r>
        <w:rPr>
          <w:rFonts w:ascii="DejaVu Sans Mono" w:hAnsi="DejaVu Sans Mono"/>
          <w:sz w:val="17"/>
        </w:rPr>
        <w:t>(e.g., correlation, absolute error, retained standardized group effect).</w:t>
      </w:r>
    </w:p>
    <w:p>
      <w:pPr>
        <w:pStyle w:val="Heading2"/>
        <w:keepNext/>
      </w:pPr>
      <w:r>
        <w:t>18.4 Example design requirement</w:t>
      </w:r>
    </w:p>
    <w:p>
      <w:pPr>
        <w:spacing w:after="110"/>
      </w:pPr>
      <w:r>
        <w:rPr>
          <w:rFonts w:ascii="Carlito" w:hAnsi="Carlito"/>
          <w:i w:val="0"/>
          <w:sz w:val="20"/>
        </w:rPr>
        <w:t>Before inspecting final test-fold results, define a minimum viable montage criterion. A reasonable candidate to discuss with a mentor is: balanced accuracy within 2 percentage points of the full montage AND high biomarker preservation (for example correlation &gt;= 0.90 for designated subject-level summary biomarkers), with no major loss of the key AD-CN effect size. The final thresholds must be fixed before final evaluation, not chosen after seeing the curve.</w:t>
      </w:r>
    </w:p>
    <w:p>
      <w:pPr>
        <w:pStyle w:val="Heading2"/>
        <w:keepNext/>
      </w:pPr>
      <w:r>
        <w:t>18.5 Practicality constraints</w:t>
      </w:r>
    </w:p>
    <w:p>
      <w:pPr>
        <w:pStyle w:val="ListBullet"/>
        <w:spacing w:after="40"/>
      </w:pPr>
      <w:r>
        <w:rPr>
          <w:rFonts w:ascii="Carlito" w:hAnsi="Carlito"/>
          <w:sz w:val="20"/>
        </w:rPr>
        <w:t>Electrode count.</w:t>
      </w:r>
    </w:p>
    <w:p>
      <w:pPr>
        <w:pStyle w:val="ListBullet"/>
        <w:spacing w:after="40"/>
      </w:pPr>
      <w:r>
        <w:rPr>
          <w:rFonts w:ascii="Carlito" w:hAnsi="Carlito"/>
          <w:sz w:val="20"/>
        </w:rPr>
        <w:t>Spatial spread and setup complexity.</w:t>
      </w:r>
    </w:p>
    <w:p>
      <w:pPr>
        <w:pStyle w:val="ListBullet"/>
        <w:spacing w:after="40"/>
      </w:pPr>
      <w:r>
        <w:rPr>
          <w:rFonts w:ascii="Carlito" w:hAnsi="Carlito"/>
          <w:sz w:val="20"/>
        </w:rPr>
        <w:t>Hair-bearing vs forehead/accessible locations.</w:t>
      </w:r>
    </w:p>
    <w:p>
      <w:pPr>
        <w:pStyle w:val="ListBullet"/>
        <w:spacing w:after="40"/>
      </w:pPr>
      <w:r>
        <w:rPr>
          <w:rFonts w:ascii="Carlito" w:hAnsi="Carlito"/>
          <w:sz w:val="20"/>
        </w:rPr>
        <w:t>Whether connectivity features require paired regions that are lost in an ultra-sparse montage.</w:t>
      </w:r>
    </w:p>
    <w:p>
      <w:pPr>
        <w:pStyle w:val="ListBullet"/>
        <w:spacing w:after="40"/>
      </w:pPr>
      <w:r>
        <w:rPr>
          <w:rFonts w:ascii="Carlito" w:hAnsi="Carlito"/>
          <w:sz w:val="20"/>
        </w:rPr>
        <w:t>Whether the montage is stable across outer folds or changes wildly.</w:t>
      </w:r>
    </w:p>
    <w:p>
      <w:pPr>
        <w:pStyle w:val="Heading2"/>
        <w:keepNext/>
      </w:pPr>
      <w:r>
        <w:t>18.6 Primary final plot</w:t>
      </w:r>
    </w:p>
    <w:p>
      <w:pPr>
        <w:spacing w:after="110"/>
      </w:pPr>
      <w:r>
        <w:rPr>
          <w:rFonts w:ascii="Carlito" w:hAnsi="Carlito"/>
          <w:i w:val="0"/>
          <w:sz w:val="20"/>
        </w:rPr>
        <w:t>Plot outer-CV balanced accuracy and biomarker preservation against electrode count (19, 12, 8, 6, 4, 3, 2). Show uncertainty, not only the mean. Mark the smallest subset meeting the pre-specified requirements.</w:t>
      </w:r>
    </w:p>
    <w:p>
      <w:pPr>
        <w:pStyle w:val="Heading1"/>
        <w:keepNext/>
      </w:pPr>
      <w:r>
        <w:t>19. Sensitivity and Robustness Analyses</w:t>
      </w:r>
    </w:p>
    <w:tbl>
      <w:tblPr>
        <w:tblStyle w:val="TableGrid"/>
        <w:tblW w:type="auto" w:w="0"/>
        <w:jc w:val="center"/>
        <w:tblLook w:firstColumn="1" w:firstRow="1" w:lastColumn="0" w:lastRow="0" w:noHBand="0" w:noVBand="1" w:val="04A0"/>
      </w:tblPr>
      <w:tblGrid>
        <w:gridCol w:w="4997"/>
        <w:gridCol w:w="4997"/>
      </w:tblGrid>
      <w:tr>
        <w:trPr>
          <w:cantSplit/>
        </w:trPr>
        <w:tc>
          <w:tcPr>
            <w:tcW w:type="dxa" w:w="4608"/>
            <w:vAlign w:val="center"/>
            <w:shd w:fill="1B3A6B"/>
          </w:tcPr>
          <w:p>
            <w:pPr>
              <w:spacing w:after="0"/>
            </w:pPr>
            <w:r/>
            <w:r>
              <w:rPr>
                <w:rFonts w:ascii="Carlito" w:hAnsi="Carlito"/>
                <w:b/>
                <w:color w:val="FFFFFF"/>
                <w:sz w:val="18"/>
              </w:rPr>
              <w:t>Sensitivity analysis</w:t>
            </w:r>
          </w:p>
        </w:tc>
        <w:tc>
          <w:tcPr>
            <w:tcW w:type="dxa" w:w="5472"/>
            <w:vAlign w:val="center"/>
            <w:shd w:fill="1B3A6B"/>
          </w:tcPr>
          <w:p>
            <w:pPr>
              <w:spacing w:after="0"/>
            </w:pPr>
            <w:r/>
            <w:r>
              <w:rPr>
                <w:rFonts w:ascii="Carlito" w:hAnsi="Carlito"/>
                <w:b/>
                <w:color w:val="FFFFFF"/>
                <w:sz w:val="18"/>
              </w:rPr>
              <w:t>Reason</w:t>
            </w:r>
          </w:p>
        </w:tc>
      </w:tr>
      <w:tr>
        <w:trPr>
          <w:cantSplit/>
        </w:trPr>
        <w:tc>
          <w:tcPr>
            <w:tcW w:type="dxa" w:w="4608"/>
            <w:vAlign w:val="center"/>
          </w:tcPr>
          <w:p>
            <w:pPr>
              <w:spacing w:after="0"/>
            </w:pPr>
            <w:r/>
            <w:r>
              <w:rPr>
                <w:rFonts w:ascii="Carlito" w:hAnsi="Carlito"/>
                <w:b w:val="0"/>
                <w:color w:val="232323"/>
                <w:sz w:val="17"/>
              </w:rPr>
              <w:t>30 s overlapping vs non-overlapping windows</w:t>
            </w:r>
          </w:p>
        </w:tc>
        <w:tc>
          <w:tcPr>
            <w:tcW w:type="dxa" w:w="5472"/>
            <w:vAlign w:val="center"/>
          </w:tcPr>
          <w:p>
            <w:pPr>
              <w:spacing w:after="0"/>
            </w:pPr>
            <w:r/>
            <w:r>
              <w:rPr>
                <w:rFonts w:ascii="Carlito" w:hAnsi="Carlito"/>
                <w:b w:val="0"/>
                <w:color w:val="232323"/>
                <w:sz w:val="17"/>
              </w:rPr>
              <w:t>Check dependence on augmentation/overlap</w:t>
            </w:r>
          </w:p>
        </w:tc>
      </w:tr>
      <w:tr>
        <w:trPr>
          <w:cantSplit/>
        </w:trPr>
        <w:tc>
          <w:tcPr>
            <w:tcW w:type="dxa" w:w="4608"/>
            <w:vAlign w:val="center"/>
            <w:shd w:fill="F4F6F8"/>
          </w:tcPr>
          <w:p>
            <w:pPr>
              <w:spacing w:after="0"/>
            </w:pPr>
            <w:r/>
            <w:r>
              <w:rPr>
                <w:rFonts w:ascii="Carlito" w:hAnsi="Carlito"/>
                <w:b w:val="0"/>
                <w:color w:val="232323"/>
                <w:sz w:val="17"/>
              </w:rPr>
              <w:t>10 s / 60 s windows</w:t>
            </w:r>
          </w:p>
        </w:tc>
        <w:tc>
          <w:tcPr>
            <w:tcW w:type="dxa" w:w="5472"/>
            <w:vAlign w:val="center"/>
            <w:shd w:fill="F4F6F8"/>
          </w:tcPr>
          <w:p>
            <w:pPr>
              <w:spacing w:after="0"/>
            </w:pPr>
            <w:r/>
            <w:r>
              <w:rPr>
                <w:rFonts w:ascii="Carlito" w:hAnsi="Carlito"/>
                <w:b w:val="0"/>
                <w:color w:val="232323"/>
                <w:sz w:val="17"/>
              </w:rPr>
              <w:t>Check time-scale sensitivity</w:t>
            </w:r>
          </w:p>
        </w:tc>
      </w:tr>
      <w:tr>
        <w:trPr>
          <w:cantSplit/>
        </w:trPr>
        <w:tc>
          <w:tcPr>
            <w:tcW w:type="dxa" w:w="4608"/>
            <w:vAlign w:val="center"/>
          </w:tcPr>
          <w:p>
            <w:pPr>
              <w:spacing w:after="0"/>
            </w:pPr>
            <w:r/>
            <w:r>
              <w:rPr>
                <w:rFonts w:ascii="Carlito" w:hAnsi="Carlito"/>
                <w:b w:val="0"/>
                <w:color w:val="232323"/>
                <w:sz w:val="17"/>
              </w:rPr>
              <w:t>Subject-level median vs mean aggregation</w:t>
            </w:r>
          </w:p>
        </w:tc>
        <w:tc>
          <w:tcPr>
            <w:tcW w:type="dxa" w:w="5472"/>
            <w:vAlign w:val="center"/>
          </w:tcPr>
          <w:p>
            <w:pPr>
              <w:spacing w:after="0"/>
            </w:pPr>
            <w:r/>
            <w:r>
              <w:rPr>
                <w:rFonts w:ascii="Carlito" w:hAnsi="Carlito"/>
                <w:b w:val="0"/>
                <w:color w:val="232323"/>
                <w:sz w:val="17"/>
              </w:rPr>
              <w:t>Check robustness to outlier windows</w:t>
            </w:r>
          </w:p>
        </w:tc>
      </w:tr>
      <w:tr>
        <w:trPr>
          <w:cantSplit/>
        </w:trPr>
        <w:tc>
          <w:tcPr>
            <w:tcW w:type="dxa" w:w="4608"/>
            <w:vAlign w:val="center"/>
            <w:shd w:fill="F4F6F8"/>
          </w:tcPr>
          <w:p>
            <w:pPr>
              <w:spacing w:after="0"/>
            </w:pPr>
            <w:r/>
            <w:r>
              <w:rPr>
                <w:rFonts w:ascii="Carlito" w:hAnsi="Carlito"/>
                <w:b w:val="0"/>
                <w:color w:val="232323"/>
                <w:sz w:val="17"/>
              </w:rPr>
              <w:t>Equal windows per subject</w:t>
            </w:r>
          </w:p>
        </w:tc>
        <w:tc>
          <w:tcPr>
            <w:tcW w:type="dxa" w:w="5472"/>
            <w:vAlign w:val="center"/>
            <w:shd w:fill="F4F6F8"/>
          </w:tcPr>
          <w:p>
            <w:pPr>
              <w:spacing w:after="0"/>
            </w:pPr>
            <w:r/>
            <w:r>
              <w:rPr>
                <w:rFonts w:ascii="Carlito" w:hAnsi="Carlito"/>
                <w:b w:val="0"/>
                <w:color w:val="232323"/>
                <w:sz w:val="17"/>
              </w:rPr>
              <w:t>Remove recording-duration weighting</w:t>
            </w:r>
          </w:p>
        </w:tc>
      </w:tr>
      <w:tr>
        <w:trPr>
          <w:cantSplit/>
        </w:trPr>
        <w:tc>
          <w:tcPr>
            <w:tcW w:type="dxa" w:w="4608"/>
            <w:vAlign w:val="center"/>
          </w:tcPr>
          <w:p>
            <w:pPr>
              <w:spacing w:after="0"/>
            </w:pPr>
            <w:r/>
            <w:r>
              <w:rPr>
                <w:rFonts w:ascii="Carlito" w:hAnsi="Carlito"/>
                <w:b w:val="0"/>
                <w:color w:val="232323"/>
                <w:sz w:val="17"/>
              </w:rPr>
              <w:t>Posterior IAF vs global IAF</w:t>
            </w:r>
          </w:p>
        </w:tc>
        <w:tc>
          <w:tcPr>
            <w:tcW w:type="dxa" w:w="5472"/>
            <w:vAlign w:val="center"/>
          </w:tcPr>
          <w:p>
            <w:pPr>
              <w:spacing w:after="0"/>
            </w:pPr>
            <w:r/>
            <w:r>
              <w:rPr>
                <w:rFonts w:ascii="Carlito" w:hAnsi="Carlito"/>
                <w:b w:val="0"/>
                <w:color w:val="232323"/>
                <w:sz w:val="17"/>
              </w:rPr>
              <w:t>Check alpha-peak definition</w:t>
            </w:r>
          </w:p>
        </w:tc>
      </w:tr>
      <w:tr>
        <w:trPr>
          <w:cantSplit/>
        </w:trPr>
        <w:tc>
          <w:tcPr>
            <w:tcW w:type="dxa" w:w="4608"/>
            <w:vAlign w:val="center"/>
            <w:shd w:fill="F4F6F8"/>
          </w:tcPr>
          <w:p>
            <w:pPr>
              <w:spacing w:after="0"/>
            </w:pPr>
            <w:r/>
            <w:r>
              <w:rPr>
                <w:rFonts w:ascii="Carlito" w:hAnsi="Carlito"/>
                <w:b w:val="0"/>
                <w:color w:val="232323"/>
                <w:sz w:val="17"/>
              </w:rPr>
              <w:t>Alternative peak-detection thresholds</w:t>
            </w:r>
          </w:p>
        </w:tc>
        <w:tc>
          <w:tcPr>
            <w:tcW w:type="dxa" w:w="5472"/>
            <w:vAlign w:val="center"/>
            <w:shd w:fill="F4F6F8"/>
          </w:tcPr>
          <w:p>
            <w:pPr>
              <w:spacing w:after="0"/>
            </w:pPr>
            <w:r/>
            <w:r>
              <w:rPr>
                <w:rFonts w:ascii="Carlito" w:hAnsi="Carlito"/>
                <w:b w:val="0"/>
                <w:color w:val="232323"/>
                <w:sz w:val="17"/>
              </w:rPr>
              <w:t>Check IAF/specparam fit dependence</w:t>
            </w:r>
          </w:p>
        </w:tc>
      </w:tr>
      <w:tr>
        <w:trPr>
          <w:cantSplit/>
        </w:trPr>
        <w:tc>
          <w:tcPr>
            <w:tcW w:type="dxa" w:w="4608"/>
            <w:vAlign w:val="center"/>
          </w:tcPr>
          <w:p>
            <w:pPr>
              <w:spacing w:after="0"/>
            </w:pPr>
            <w:r/>
            <w:r>
              <w:rPr>
                <w:rFonts w:ascii="Carlito" w:hAnsi="Carlito"/>
                <w:b w:val="0"/>
                <w:color w:val="232323"/>
                <w:sz w:val="17"/>
              </w:rPr>
              <w:t>Relative vs log absolute power</w:t>
            </w:r>
          </w:p>
        </w:tc>
        <w:tc>
          <w:tcPr>
            <w:tcW w:type="dxa" w:w="5472"/>
            <w:vAlign w:val="center"/>
          </w:tcPr>
          <w:p>
            <w:pPr>
              <w:spacing w:after="0"/>
            </w:pPr>
            <w:r/>
            <w:r>
              <w:rPr>
                <w:rFonts w:ascii="Carlito" w:hAnsi="Carlito"/>
                <w:b w:val="0"/>
                <w:color w:val="232323"/>
                <w:sz w:val="17"/>
              </w:rPr>
              <w:t>Check compositional normalization</w:t>
            </w:r>
          </w:p>
        </w:tc>
      </w:tr>
      <w:tr>
        <w:trPr>
          <w:cantSplit/>
        </w:trPr>
        <w:tc>
          <w:tcPr>
            <w:tcW w:type="dxa" w:w="4608"/>
            <w:vAlign w:val="center"/>
            <w:shd w:fill="F4F6F8"/>
          </w:tcPr>
          <w:p>
            <w:pPr>
              <w:spacing w:after="0"/>
            </w:pPr>
            <w:r/>
            <w:r>
              <w:rPr>
                <w:rFonts w:ascii="Carlito" w:hAnsi="Carlito"/>
                <w:b w:val="0"/>
                <w:color w:val="232323"/>
                <w:sz w:val="17"/>
              </w:rPr>
              <w:t>Distributed reference vs common average</w:t>
            </w:r>
          </w:p>
        </w:tc>
        <w:tc>
          <w:tcPr>
            <w:tcW w:type="dxa" w:w="5472"/>
            <w:vAlign w:val="center"/>
            <w:shd w:fill="F4F6F8"/>
          </w:tcPr>
          <w:p>
            <w:pPr>
              <w:spacing w:after="0"/>
            </w:pPr>
            <w:r/>
            <w:r>
              <w:rPr>
                <w:rFonts w:ascii="Carlito" w:hAnsi="Carlito"/>
                <w:b w:val="0"/>
                <w:color w:val="232323"/>
                <w:sz w:val="17"/>
              </w:rPr>
              <w:t>Check reference sensitivity</w:t>
            </w:r>
          </w:p>
        </w:tc>
      </w:tr>
      <w:tr>
        <w:trPr>
          <w:cantSplit/>
        </w:trPr>
        <w:tc>
          <w:tcPr>
            <w:tcW w:type="dxa" w:w="4608"/>
            <w:vAlign w:val="center"/>
          </w:tcPr>
          <w:p>
            <w:pPr>
              <w:spacing w:after="0"/>
            </w:pPr>
            <w:r/>
            <w:r>
              <w:rPr>
                <w:rFonts w:ascii="Carlito" w:hAnsi="Carlito"/>
                <w:b w:val="0"/>
                <w:color w:val="232323"/>
                <w:sz w:val="17"/>
              </w:rPr>
              <w:t>SCC vs wPLI vs ImCoh</w:t>
            </w:r>
          </w:p>
        </w:tc>
        <w:tc>
          <w:tcPr>
            <w:tcW w:type="dxa" w:w="5472"/>
            <w:vAlign w:val="center"/>
          </w:tcPr>
          <w:p>
            <w:pPr>
              <w:spacing w:after="0"/>
            </w:pPr>
            <w:r/>
            <w:r>
              <w:rPr>
                <w:rFonts w:ascii="Carlito" w:hAnsi="Carlito"/>
                <w:b w:val="0"/>
                <w:color w:val="232323"/>
                <w:sz w:val="17"/>
              </w:rPr>
              <w:t>Check volume-conduction-sensitive interpretation</w:t>
            </w:r>
          </w:p>
        </w:tc>
      </w:tr>
      <w:tr>
        <w:trPr>
          <w:cantSplit/>
        </w:trPr>
        <w:tc>
          <w:tcPr>
            <w:tcW w:type="dxa" w:w="4608"/>
            <w:vAlign w:val="center"/>
            <w:shd w:fill="F4F6F8"/>
          </w:tcPr>
          <w:p>
            <w:pPr>
              <w:spacing w:after="0"/>
            </w:pPr>
            <w:r/>
            <w:r>
              <w:rPr>
                <w:rFonts w:ascii="Carlito" w:hAnsi="Carlito"/>
                <w:b w:val="0"/>
                <w:color w:val="232323"/>
                <w:sz w:val="17"/>
              </w:rPr>
              <w:t>Age/sex adjusted vs unadjusted</w:t>
            </w:r>
          </w:p>
        </w:tc>
        <w:tc>
          <w:tcPr>
            <w:tcW w:type="dxa" w:w="5472"/>
            <w:vAlign w:val="center"/>
            <w:shd w:fill="F4F6F8"/>
          </w:tcPr>
          <w:p>
            <w:pPr>
              <w:spacing w:after="0"/>
            </w:pPr>
            <w:r/>
            <w:r>
              <w:rPr>
                <w:rFonts w:ascii="Carlito" w:hAnsi="Carlito"/>
                <w:b w:val="0"/>
                <w:color w:val="232323"/>
                <w:sz w:val="17"/>
              </w:rPr>
              <w:t>Check demographic confounding</w:t>
            </w:r>
          </w:p>
        </w:tc>
      </w:tr>
      <w:tr>
        <w:trPr>
          <w:cantSplit/>
        </w:trPr>
        <w:tc>
          <w:tcPr>
            <w:tcW w:type="dxa" w:w="4608"/>
            <w:vAlign w:val="center"/>
          </w:tcPr>
          <w:p>
            <w:pPr>
              <w:spacing w:after="0"/>
            </w:pPr>
            <w:r/>
            <w:r>
              <w:rPr>
                <w:rFonts w:ascii="Carlito" w:hAnsi="Carlito"/>
                <w:b w:val="0"/>
                <w:color w:val="232323"/>
                <w:sz w:val="17"/>
              </w:rPr>
              <w:t>AD-CN / FTD-CN / AD-FTD</w:t>
            </w:r>
          </w:p>
        </w:tc>
        <w:tc>
          <w:tcPr>
            <w:tcW w:type="dxa" w:w="5472"/>
            <w:vAlign w:val="center"/>
          </w:tcPr>
          <w:p>
            <w:pPr>
              <w:spacing w:after="0"/>
            </w:pPr>
            <w:r/>
            <w:r>
              <w:rPr>
                <w:rFonts w:ascii="Carlito" w:hAnsi="Carlito"/>
                <w:b w:val="0"/>
                <w:color w:val="232323"/>
                <w:sz w:val="17"/>
              </w:rPr>
              <w:t>Check disease specificity</w:t>
            </w:r>
          </w:p>
        </w:tc>
      </w:tr>
      <w:tr>
        <w:trPr>
          <w:cantSplit/>
        </w:trPr>
        <w:tc>
          <w:tcPr>
            <w:tcW w:type="dxa" w:w="4608"/>
            <w:vAlign w:val="center"/>
            <w:shd w:fill="F4F6F8"/>
          </w:tcPr>
          <w:p>
            <w:pPr>
              <w:spacing w:after="0"/>
            </w:pPr>
            <w:r/>
            <w:r>
              <w:rPr>
                <w:rFonts w:ascii="Carlito" w:hAnsi="Carlito"/>
                <w:b w:val="0"/>
                <w:color w:val="232323"/>
                <w:sz w:val="17"/>
              </w:rPr>
              <w:t>Different outer-CV seeds/folds</w:t>
            </w:r>
          </w:p>
        </w:tc>
        <w:tc>
          <w:tcPr>
            <w:tcW w:type="dxa" w:w="5472"/>
            <w:vAlign w:val="center"/>
            <w:shd w:fill="F4F6F8"/>
          </w:tcPr>
          <w:p>
            <w:pPr>
              <w:spacing w:after="0"/>
            </w:pPr>
            <w:r/>
            <w:r>
              <w:rPr>
                <w:rFonts w:ascii="Carlito" w:hAnsi="Carlito"/>
                <w:b w:val="0"/>
                <w:color w:val="232323"/>
                <w:sz w:val="17"/>
              </w:rPr>
              <w:t>Check model-selection stability</w:t>
            </w:r>
          </w:p>
        </w:tc>
      </w:tr>
    </w:tbl>
    <w:p>
      <w:pPr>
        <w:spacing w:after="0"/>
      </w:pPr>
    </w:p>
    <w:p>
      <w:pPr>
        <w:pStyle w:val="Heading2"/>
        <w:keepNext/>
      </w:pPr>
      <w:r>
        <w:t>19.1 Optional advanced extensions</w:t>
      </w:r>
    </w:p>
    <w:p>
      <w:pPr>
        <w:pStyle w:val="ListBullet"/>
        <w:spacing w:after="40"/>
      </w:pPr>
      <w:r>
        <w:rPr>
          <w:rFonts w:ascii="Carlito" w:hAnsi="Carlito"/>
          <w:sz w:val="20"/>
        </w:rPr>
        <w:t>Permutation testing of subject-level classification performance.</w:t>
      </w:r>
    </w:p>
    <w:p>
      <w:pPr>
        <w:pStyle w:val="ListBullet"/>
        <w:spacing w:after="40"/>
      </w:pPr>
      <w:r>
        <w:rPr>
          <w:rFonts w:ascii="Carlito" w:hAnsi="Carlito"/>
          <w:sz w:val="20"/>
        </w:rPr>
        <w:t>Stability selection for channels/features across bootstrap resamples.</w:t>
      </w:r>
    </w:p>
    <w:p>
      <w:pPr>
        <w:pStyle w:val="ListBullet"/>
        <w:spacing w:after="40"/>
      </w:pPr>
      <w:r>
        <w:rPr>
          <w:rFonts w:ascii="Carlito" w:hAnsi="Carlito"/>
          <w:sz w:val="20"/>
        </w:rPr>
        <w:t>Calibration and decision-curve analysis, clearly labeled exploratory.</w:t>
      </w:r>
    </w:p>
    <w:p>
      <w:pPr>
        <w:pStyle w:val="ListBullet"/>
        <w:spacing w:after="40"/>
      </w:pPr>
      <w:r>
        <w:rPr>
          <w:rFonts w:ascii="Carlito" w:hAnsi="Carlito"/>
          <w:sz w:val="20"/>
        </w:rPr>
        <w:t>Raw-vs-derivative preprocessing sensitivity.</w:t>
      </w:r>
    </w:p>
    <w:p>
      <w:pPr>
        <w:pStyle w:val="ListBullet"/>
        <w:spacing w:after="40"/>
      </w:pPr>
      <w:r>
        <w:rPr>
          <w:rFonts w:ascii="Carlito" w:hAnsi="Carlito"/>
          <w:sz w:val="20"/>
        </w:rPr>
        <w:t>Graph-level features derived from lagged connectivity, only after pairwise measures are validated.</w:t>
      </w:r>
    </w:p>
    <w:p>
      <w:pPr>
        <w:pStyle w:val="Heading1"/>
        <w:keepNext/>
      </w:pPr>
      <w:r>
        <w:t>20. Figures, Tables, and Reporting Standards</w:t>
      </w:r>
    </w:p>
    <w:p>
      <w:pPr>
        <w:pStyle w:val="Heading2"/>
        <w:keepNext/>
      </w:pPr>
      <w:r>
        <w:t>20.1 Minimum final figures</w:t>
      </w:r>
    </w:p>
    <w:tbl>
      <w:tblPr>
        <w:tblStyle w:val="TableGrid"/>
        <w:tblW w:type="auto" w:w="0"/>
        <w:jc w:val="center"/>
        <w:tblLook w:firstColumn="1" w:firstRow="1" w:lastColumn="0" w:lastRow="0" w:noHBand="0" w:noVBand="1" w:val="04A0"/>
      </w:tblPr>
      <w:tblGrid>
        <w:gridCol w:w="4997"/>
        <w:gridCol w:w="4997"/>
      </w:tblGrid>
      <w:tr>
        <w:trPr>
          <w:cantSplit/>
        </w:trPr>
        <w:tc>
          <w:tcPr>
            <w:tcW w:type="dxa" w:w="1584"/>
            <w:vAlign w:val="center"/>
            <w:shd w:fill="1B3A6B"/>
          </w:tcPr>
          <w:p>
            <w:pPr>
              <w:spacing w:after="0"/>
            </w:pPr>
            <w:r/>
            <w:r>
              <w:rPr>
                <w:rFonts w:ascii="Carlito" w:hAnsi="Carlito"/>
                <w:b/>
                <w:color w:val="FFFFFF"/>
                <w:sz w:val="18"/>
              </w:rPr>
              <w:t>Figure</w:t>
            </w:r>
          </w:p>
        </w:tc>
        <w:tc>
          <w:tcPr>
            <w:tcW w:type="dxa" w:w="8496"/>
            <w:vAlign w:val="center"/>
            <w:shd w:fill="1B3A6B"/>
          </w:tcPr>
          <w:p>
            <w:pPr>
              <w:spacing w:after="0"/>
            </w:pPr>
            <w:r/>
            <w:r>
              <w:rPr>
                <w:rFonts w:ascii="Carlito" w:hAnsi="Carlito"/>
                <w:b/>
                <w:color w:val="FFFFFF"/>
                <w:sz w:val="18"/>
              </w:rPr>
              <w:t>Content</w:t>
            </w:r>
          </w:p>
        </w:tc>
      </w:tr>
      <w:tr>
        <w:trPr>
          <w:cantSplit/>
        </w:trPr>
        <w:tc>
          <w:tcPr>
            <w:tcW w:type="dxa" w:w="1584"/>
            <w:vAlign w:val="center"/>
          </w:tcPr>
          <w:p>
            <w:pPr>
              <w:spacing w:after="0"/>
            </w:pPr>
            <w:r/>
            <w:r>
              <w:rPr>
                <w:rFonts w:ascii="Carlito" w:hAnsi="Carlito"/>
                <w:b w:val="0"/>
                <w:color w:val="232323"/>
                <w:sz w:val="17"/>
              </w:rPr>
              <w:t>Fig. 1</w:t>
            </w:r>
          </w:p>
        </w:tc>
        <w:tc>
          <w:tcPr>
            <w:tcW w:type="dxa" w:w="8496"/>
            <w:vAlign w:val="center"/>
          </w:tcPr>
          <w:p>
            <w:pPr>
              <w:spacing w:after="0"/>
            </w:pPr>
            <w:r/>
            <w:r>
              <w:rPr>
                <w:rFonts w:ascii="Carlito" w:hAnsi="Carlito"/>
                <w:b w:val="0"/>
                <w:color w:val="232323"/>
                <w:sz w:val="17"/>
              </w:rPr>
              <w:t>Project workflow</w:t>
            </w:r>
          </w:p>
        </w:tc>
      </w:tr>
      <w:tr>
        <w:trPr>
          <w:cantSplit/>
        </w:trPr>
        <w:tc>
          <w:tcPr>
            <w:tcW w:type="dxa" w:w="1584"/>
            <w:vAlign w:val="center"/>
            <w:shd w:fill="F4F6F8"/>
          </w:tcPr>
          <w:p>
            <w:pPr>
              <w:spacing w:after="0"/>
            </w:pPr>
            <w:r/>
            <w:r>
              <w:rPr>
                <w:rFonts w:ascii="Carlito" w:hAnsi="Carlito"/>
                <w:b w:val="0"/>
                <w:color w:val="232323"/>
                <w:sz w:val="17"/>
              </w:rPr>
              <w:t>Fig. 2</w:t>
            </w:r>
          </w:p>
        </w:tc>
        <w:tc>
          <w:tcPr>
            <w:tcW w:type="dxa" w:w="8496"/>
            <w:vAlign w:val="center"/>
            <w:shd w:fill="F4F6F8"/>
          </w:tcPr>
          <w:p>
            <w:pPr>
              <w:spacing w:after="0"/>
            </w:pPr>
            <w:r/>
            <w:r>
              <w:rPr>
                <w:rFonts w:ascii="Carlito" w:hAnsi="Carlito"/>
                <w:b w:val="0"/>
                <w:color w:val="232323"/>
                <w:sz w:val="17"/>
              </w:rPr>
              <w:t>Dataset/QC summary</w:t>
            </w:r>
          </w:p>
        </w:tc>
      </w:tr>
      <w:tr>
        <w:trPr>
          <w:cantSplit/>
        </w:trPr>
        <w:tc>
          <w:tcPr>
            <w:tcW w:type="dxa" w:w="1584"/>
            <w:vAlign w:val="center"/>
          </w:tcPr>
          <w:p>
            <w:pPr>
              <w:spacing w:after="0"/>
            </w:pPr>
            <w:r/>
            <w:r>
              <w:rPr>
                <w:rFonts w:ascii="Carlito" w:hAnsi="Carlito"/>
                <w:b w:val="0"/>
                <w:color w:val="232323"/>
                <w:sz w:val="17"/>
              </w:rPr>
              <w:t>Fig. 3</w:t>
            </w:r>
          </w:p>
        </w:tc>
        <w:tc>
          <w:tcPr>
            <w:tcW w:type="dxa" w:w="8496"/>
            <w:vAlign w:val="center"/>
          </w:tcPr>
          <w:p>
            <w:pPr>
              <w:spacing w:after="0"/>
            </w:pPr>
            <w:r/>
            <w:r>
              <w:rPr>
                <w:rFonts w:ascii="Carlito" w:hAnsi="Carlito"/>
                <w:b w:val="0"/>
                <w:color w:val="232323"/>
                <w:sz w:val="17"/>
              </w:rPr>
              <w:t>Group-average PSD with subject dispersion</w:t>
            </w:r>
          </w:p>
        </w:tc>
      </w:tr>
      <w:tr>
        <w:trPr>
          <w:cantSplit/>
        </w:trPr>
        <w:tc>
          <w:tcPr>
            <w:tcW w:type="dxa" w:w="1584"/>
            <w:vAlign w:val="center"/>
            <w:shd w:fill="F4F6F8"/>
          </w:tcPr>
          <w:p>
            <w:pPr>
              <w:spacing w:after="0"/>
            </w:pPr>
            <w:r/>
            <w:r>
              <w:rPr>
                <w:rFonts w:ascii="Carlito" w:hAnsi="Carlito"/>
                <w:b w:val="0"/>
                <w:color w:val="232323"/>
                <w:sz w:val="17"/>
              </w:rPr>
              <w:t>Fig. 4</w:t>
            </w:r>
          </w:p>
        </w:tc>
        <w:tc>
          <w:tcPr>
            <w:tcW w:type="dxa" w:w="8496"/>
            <w:vAlign w:val="center"/>
            <w:shd w:fill="F4F6F8"/>
          </w:tcPr>
          <w:p>
            <w:pPr>
              <w:spacing w:after="0"/>
            </w:pPr>
            <w:r/>
            <w:r>
              <w:rPr>
                <w:rFonts w:ascii="Carlito" w:hAnsi="Carlito"/>
                <w:b w:val="0"/>
                <w:color w:val="232323"/>
                <w:sz w:val="17"/>
              </w:rPr>
              <w:t>Fixed-band RBP scalp maps</w:t>
            </w:r>
          </w:p>
        </w:tc>
      </w:tr>
      <w:tr>
        <w:trPr>
          <w:cantSplit/>
        </w:trPr>
        <w:tc>
          <w:tcPr>
            <w:tcW w:type="dxa" w:w="1584"/>
            <w:vAlign w:val="center"/>
          </w:tcPr>
          <w:p>
            <w:pPr>
              <w:spacing w:after="0"/>
            </w:pPr>
            <w:r/>
            <w:r>
              <w:rPr>
                <w:rFonts w:ascii="Carlito" w:hAnsi="Carlito"/>
                <w:b w:val="0"/>
                <w:color w:val="232323"/>
                <w:sz w:val="17"/>
              </w:rPr>
              <w:t>Fig. 5</w:t>
            </w:r>
          </w:p>
        </w:tc>
        <w:tc>
          <w:tcPr>
            <w:tcW w:type="dxa" w:w="8496"/>
            <w:vAlign w:val="center"/>
          </w:tcPr>
          <w:p>
            <w:pPr>
              <w:spacing w:after="0"/>
            </w:pPr>
            <w:r/>
            <w:r>
              <w:rPr>
                <w:rFonts w:ascii="Carlito" w:hAnsi="Carlito"/>
                <w:b w:val="0"/>
                <w:color w:val="232323"/>
                <w:sz w:val="17"/>
              </w:rPr>
              <w:t>IAF distributions and individualized spectral comparison</w:t>
            </w:r>
          </w:p>
        </w:tc>
      </w:tr>
      <w:tr>
        <w:trPr>
          <w:cantSplit/>
        </w:trPr>
        <w:tc>
          <w:tcPr>
            <w:tcW w:type="dxa" w:w="1584"/>
            <w:vAlign w:val="center"/>
            <w:shd w:fill="F4F6F8"/>
          </w:tcPr>
          <w:p>
            <w:pPr>
              <w:spacing w:after="0"/>
            </w:pPr>
            <w:r/>
            <w:r>
              <w:rPr>
                <w:rFonts w:ascii="Carlito" w:hAnsi="Carlito"/>
                <w:b w:val="0"/>
                <w:color w:val="232323"/>
                <w:sz w:val="17"/>
              </w:rPr>
              <w:t>Fig. 6</w:t>
            </w:r>
          </w:p>
        </w:tc>
        <w:tc>
          <w:tcPr>
            <w:tcW w:type="dxa" w:w="8496"/>
            <w:vAlign w:val="center"/>
            <w:shd w:fill="F4F6F8"/>
          </w:tcPr>
          <w:p>
            <w:pPr>
              <w:spacing w:after="0"/>
            </w:pPr>
            <w:r/>
            <w:r>
              <w:rPr>
                <w:rFonts w:ascii="Carlito" w:hAnsi="Carlito"/>
                <w:b w:val="0"/>
                <w:color w:val="232323"/>
                <w:sz w:val="17"/>
              </w:rPr>
              <w:t>Periodic vs aperiodic decomposition examples and group results</w:t>
            </w:r>
          </w:p>
        </w:tc>
      </w:tr>
      <w:tr>
        <w:trPr>
          <w:cantSplit/>
        </w:trPr>
        <w:tc>
          <w:tcPr>
            <w:tcW w:type="dxa" w:w="1584"/>
            <w:vAlign w:val="center"/>
          </w:tcPr>
          <w:p>
            <w:pPr>
              <w:spacing w:after="0"/>
            </w:pPr>
            <w:r/>
            <w:r>
              <w:rPr>
                <w:rFonts w:ascii="Carlito" w:hAnsi="Carlito"/>
                <w:b w:val="0"/>
                <w:color w:val="232323"/>
                <w:sz w:val="17"/>
              </w:rPr>
              <w:t>Fig. 7</w:t>
            </w:r>
          </w:p>
        </w:tc>
        <w:tc>
          <w:tcPr>
            <w:tcW w:type="dxa" w:w="8496"/>
            <w:vAlign w:val="center"/>
          </w:tcPr>
          <w:p>
            <w:pPr>
              <w:spacing w:after="0"/>
            </w:pPr>
            <w:r/>
            <w:r>
              <w:rPr>
                <w:rFonts w:ascii="Carlito" w:hAnsi="Carlito"/>
                <w:b w:val="0"/>
                <w:color w:val="232323"/>
                <w:sz w:val="17"/>
              </w:rPr>
              <w:t>SCC vs wPLI/ImCoh connectivity comparison</w:t>
            </w:r>
          </w:p>
        </w:tc>
      </w:tr>
      <w:tr>
        <w:trPr>
          <w:cantSplit/>
        </w:trPr>
        <w:tc>
          <w:tcPr>
            <w:tcW w:type="dxa" w:w="1584"/>
            <w:vAlign w:val="center"/>
            <w:shd w:fill="F4F6F8"/>
          </w:tcPr>
          <w:p>
            <w:pPr>
              <w:spacing w:after="0"/>
            </w:pPr>
            <w:r/>
            <w:r>
              <w:rPr>
                <w:rFonts w:ascii="Carlito" w:hAnsi="Carlito"/>
                <w:b w:val="0"/>
                <w:color w:val="232323"/>
                <w:sz w:val="17"/>
              </w:rPr>
              <w:t>Fig. 8</w:t>
            </w:r>
          </w:p>
        </w:tc>
        <w:tc>
          <w:tcPr>
            <w:tcW w:type="dxa" w:w="8496"/>
            <w:vAlign w:val="center"/>
            <w:shd w:fill="F4F6F8"/>
          </w:tcPr>
          <w:p>
            <w:pPr>
              <w:spacing w:after="0"/>
            </w:pPr>
            <w:r/>
            <w:r>
              <w:rPr>
                <w:rFonts w:ascii="Carlito" w:hAnsi="Carlito"/>
                <w:b w:val="0"/>
                <w:color w:val="232323"/>
                <w:sz w:val="17"/>
              </w:rPr>
              <w:t>AD-CN, FTD-CN, AD-FTD biomarker effect-size matrix</w:t>
            </w:r>
          </w:p>
        </w:tc>
      </w:tr>
      <w:tr>
        <w:trPr>
          <w:cantSplit/>
        </w:trPr>
        <w:tc>
          <w:tcPr>
            <w:tcW w:type="dxa" w:w="1584"/>
            <w:vAlign w:val="center"/>
          </w:tcPr>
          <w:p>
            <w:pPr>
              <w:spacing w:after="0"/>
            </w:pPr>
            <w:r/>
            <w:r>
              <w:rPr>
                <w:rFonts w:ascii="Carlito" w:hAnsi="Carlito"/>
                <w:b w:val="0"/>
                <w:color w:val="232323"/>
                <w:sz w:val="17"/>
              </w:rPr>
              <w:t>Fig. 9</w:t>
            </w:r>
          </w:p>
        </w:tc>
        <w:tc>
          <w:tcPr>
            <w:tcW w:type="dxa" w:w="8496"/>
            <w:vAlign w:val="center"/>
          </w:tcPr>
          <w:p>
            <w:pPr>
              <w:spacing w:after="0"/>
            </w:pPr>
            <w:r/>
            <w:r>
              <w:rPr>
                <w:rFonts w:ascii="Carlito" w:hAnsi="Carlito"/>
                <w:b w:val="0"/>
                <w:color w:val="232323"/>
                <w:sz w:val="17"/>
              </w:rPr>
              <w:t>Nested-CV feature-family performance</w:t>
            </w:r>
          </w:p>
        </w:tc>
      </w:tr>
      <w:tr>
        <w:trPr>
          <w:cantSplit/>
        </w:trPr>
        <w:tc>
          <w:tcPr>
            <w:tcW w:type="dxa" w:w="1584"/>
            <w:vAlign w:val="center"/>
            <w:shd w:fill="F4F6F8"/>
          </w:tcPr>
          <w:p>
            <w:pPr>
              <w:spacing w:after="0"/>
            </w:pPr>
            <w:r/>
            <w:r>
              <w:rPr>
                <w:rFonts w:ascii="Carlito" w:hAnsi="Carlito"/>
                <w:b w:val="0"/>
                <w:color w:val="232323"/>
                <w:sz w:val="17"/>
              </w:rPr>
              <w:t>Fig. 10</w:t>
            </w:r>
          </w:p>
        </w:tc>
        <w:tc>
          <w:tcPr>
            <w:tcW w:type="dxa" w:w="8496"/>
            <w:vAlign w:val="center"/>
            <w:shd w:fill="F4F6F8"/>
          </w:tcPr>
          <w:p>
            <w:pPr>
              <w:spacing w:after="0"/>
            </w:pPr>
            <w:r/>
            <w:r>
              <w:rPr>
                <w:rFonts w:ascii="Carlito" w:hAnsi="Carlito"/>
                <w:b w:val="0"/>
                <w:color w:val="232323"/>
                <w:sz w:val="17"/>
              </w:rPr>
              <w:t>Electrode importance / selection frequency topomap</w:t>
            </w:r>
          </w:p>
        </w:tc>
      </w:tr>
      <w:tr>
        <w:trPr>
          <w:cantSplit/>
        </w:trPr>
        <w:tc>
          <w:tcPr>
            <w:tcW w:type="dxa" w:w="1584"/>
            <w:vAlign w:val="center"/>
          </w:tcPr>
          <w:p>
            <w:pPr>
              <w:spacing w:after="0"/>
            </w:pPr>
            <w:r/>
            <w:r>
              <w:rPr>
                <w:rFonts w:ascii="Carlito" w:hAnsi="Carlito"/>
                <w:b w:val="0"/>
                <w:color w:val="232323"/>
                <w:sz w:val="17"/>
              </w:rPr>
              <w:t>Fig. 11</w:t>
            </w:r>
          </w:p>
        </w:tc>
        <w:tc>
          <w:tcPr>
            <w:tcW w:type="dxa" w:w="8496"/>
            <w:vAlign w:val="center"/>
          </w:tcPr>
          <w:p>
            <w:pPr>
              <w:spacing w:after="0"/>
            </w:pPr>
            <w:r/>
            <w:r>
              <w:rPr>
                <w:rFonts w:ascii="Carlito" w:hAnsi="Carlito"/>
                <w:b w:val="0"/>
                <w:color w:val="232323"/>
                <w:sz w:val="17"/>
              </w:rPr>
              <w:t>Performance and biomarker preservation vs electrode count</w:t>
            </w:r>
          </w:p>
        </w:tc>
      </w:tr>
    </w:tbl>
    <w:p>
      <w:pPr>
        <w:spacing w:after="0"/>
      </w:pPr>
    </w:p>
    <w:p>
      <w:pPr>
        <w:pStyle w:val="Heading2"/>
        <w:keepNext/>
      </w:pPr>
      <w:r>
        <w:t>20.2 Minimum final tables</w:t>
      </w:r>
    </w:p>
    <w:tbl>
      <w:tblPr>
        <w:tblStyle w:val="TableGrid"/>
        <w:tblW w:type="auto" w:w="0"/>
        <w:jc w:val="center"/>
        <w:tblLook w:firstColumn="1" w:firstRow="1" w:lastColumn="0" w:lastRow="0" w:noHBand="0" w:noVBand="1" w:val="04A0"/>
      </w:tblPr>
      <w:tblGrid>
        <w:gridCol w:w="4997"/>
        <w:gridCol w:w="4997"/>
      </w:tblGrid>
      <w:tr>
        <w:trPr>
          <w:cantSplit/>
        </w:trPr>
        <w:tc>
          <w:tcPr>
            <w:tcW w:type="dxa" w:w="1584"/>
            <w:vAlign w:val="center"/>
            <w:shd w:fill="1B3A6B"/>
          </w:tcPr>
          <w:p>
            <w:pPr>
              <w:spacing w:after="0"/>
            </w:pPr>
            <w:r/>
            <w:r>
              <w:rPr>
                <w:rFonts w:ascii="Carlito" w:hAnsi="Carlito"/>
                <w:b/>
                <w:color w:val="FFFFFF"/>
                <w:sz w:val="18"/>
              </w:rPr>
              <w:t>Table</w:t>
            </w:r>
          </w:p>
        </w:tc>
        <w:tc>
          <w:tcPr>
            <w:tcW w:type="dxa" w:w="8496"/>
            <w:vAlign w:val="center"/>
            <w:shd w:fill="1B3A6B"/>
          </w:tcPr>
          <w:p>
            <w:pPr>
              <w:spacing w:after="0"/>
            </w:pPr>
            <w:r/>
            <w:r>
              <w:rPr>
                <w:rFonts w:ascii="Carlito" w:hAnsi="Carlito"/>
                <w:b/>
                <w:color w:val="FFFFFF"/>
                <w:sz w:val="18"/>
              </w:rPr>
              <w:t>Content</w:t>
            </w:r>
          </w:p>
        </w:tc>
      </w:tr>
      <w:tr>
        <w:trPr>
          <w:cantSplit/>
        </w:trPr>
        <w:tc>
          <w:tcPr>
            <w:tcW w:type="dxa" w:w="1584"/>
            <w:vAlign w:val="center"/>
          </w:tcPr>
          <w:p>
            <w:pPr>
              <w:spacing w:after="0"/>
            </w:pPr>
            <w:r/>
            <w:r>
              <w:rPr>
                <w:rFonts w:ascii="Carlito" w:hAnsi="Carlito"/>
                <w:b w:val="0"/>
                <w:color w:val="232323"/>
                <w:sz w:val="17"/>
              </w:rPr>
              <w:t>Table 1</w:t>
            </w:r>
          </w:p>
        </w:tc>
        <w:tc>
          <w:tcPr>
            <w:tcW w:type="dxa" w:w="8496"/>
            <w:vAlign w:val="center"/>
          </w:tcPr>
          <w:p>
            <w:pPr>
              <w:spacing w:after="0"/>
            </w:pPr>
            <w:r/>
            <w:r>
              <w:rPr>
                <w:rFonts w:ascii="Carlito" w:hAnsi="Carlito"/>
                <w:b w:val="0"/>
                <w:color w:val="232323"/>
                <w:sz w:val="17"/>
              </w:rPr>
              <w:t>Participant characteristics and missing data</w:t>
            </w:r>
          </w:p>
        </w:tc>
      </w:tr>
      <w:tr>
        <w:trPr>
          <w:cantSplit/>
        </w:trPr>
        <w:tc>
          <w:tcPr>
            <w:tcW w:type="dxa" w:w="1584"/>
            <w:vAlign w:val="center"/>
            <w:shd w:fill="F4F6F8"/>
          </w:tcPr>
          <w:p>
            <w:pPr>
              <w:spacing w:after="0"/>
            </w:pPr>
            <w:r/>
            <w:r>
              <w:rPr>
                <w:rFonts w:ascii="Carlito" w:hAnsi="Carlito"/>
                <w:b w:val="0"/>
                <w:color w:val="232323"/>
                <w:sz w:val="17"/>
              </w:rPr>
              <w:t>Table 2</w:t>
            </w:r>
          </w:p>
        </w:tc>
        <w:tc>
          <w:tcPr>
            <w:tcW w:type="dxa" w:w="8496"/>
            <w:vAlign w:val="center"/>
            <w:shd w:fill="F4F6F8"/>
          </w:tcPr>
          <w:p>
            <w:pPr>
              <w:spacing w:after="0"/>
            </w:pPr>
            <w:r/>
            <w:r>
              <w:rPr>
                <w:rFonts w:ascii="Carlito" w:hAnsi="Carlito"/>
                <w:b w:val="0"/>
                <w:color w:val="232323"/>
                <w:sz w:val="17"/>
              </w:rPr>
              <w:t>All preprocessing and feature parameters</w:t>
            </w:r>
          </w:p>
        </w:tc>
      </w:tr>
      <w:tr>
        <w:trPr>
          <w:cantSplit/>
        </w:trPr>
        <w:tc>
          <w:tcPr>
            <w:tcW w:type="dxa" w:w="1584"/>
            <w:vAlign w:val="center"/>
          </w:tcPr>
          <w:p>
            <w:pPr>
              <w:spacing w:after="0"/>
            </w:pPr>
            <w:r/>
            <w:r>
              <w:rPr>
                <w:rFonts w:ascii="Carlito" w:hAnsi="Carlito"/>
                <w:b w:val="0"/>
                <w:color w:val="232323"/>
                <w:sz w:val="17"/>
              </w:rPr>
              <w:t>Table 3</w:t>
            </w:r>
          </w:p>
        </w:tc>
        <w:tc>
          <w:tcPr>
            <w:tcW w:type="dxa" w:w="8496"/>
            <w:vAlign w:val="center"/>
          </w:tcPr>
          <w:p>
            <w:pPr>
              <w:spacing w:after="0"/>
            </w:pPr>
            <w:r/>
            <w:r>
              <w:rPr>
                <w:rFonts w:ascii="Carlito" w:hAnsi="Carlito"/>
                <w:b w:val="0"/>
                <w:color w:val="232323"/>
                <w:sz w:val="17"/>
              </w:rPr>
              <w:t>Replication RBP/SCC group effects</w:t>
            </w:r>
          </w:p>
        </w:tc>
      </w:tr>
      <w:tr>
        <w:trPr>
          <w:cantSplit/>
        </w:trPr>
        <w:tc>
          <w:tcPr>
            <w:tcW w:type="dxa" w:w="1584"/>
            <w:vAlign w:val="center"/>
            <w:shd w:fill="F4F6F8"/>
          </w:tcPr>
          <w:p>
            <w:pPr>
              <w:spacing w:after="0"/>
            </w:pPr>
            <w:r/>
            <w:r>
              <w:rPr>
                <w:rFonts w:ascii="Carlito" w:hAnsi="Carlito"/>
                <w:b w:val="0"/>
                <w:color w:val="232323"/>
                <w:sz w:val="17"/>
              </w:rPr>
              <w:t>Table 4</w:t>
            </w:r>
          </w:p>
        </w:tc>
        <w:tc>
          <w:tcPr>
            <w:tcW w:type="dxa" w:w="8496"/>
            <w:vAlign w:val="center"/>
            <w:shd w:fill="F4F6F8"/>
          </w:tcPr>
          <w:p>
            <w:pPr>
              <w:spacing w:after="0"/>
            </w:pPr>
            <w:r/>
            <w:r>
              <w:rPr>
                <w:rFonts w:ascii="Carlito" w:hAnsi="Carlito"/>
                <w:b w:val="0"/>
                <w:color w:val="232323"/>
                <w:sz w:val="17"/>
              </w:rPr>
              <w:t>Spectral critique results</w:t>
            </w:r>
          </w:p>
        </w:tc>
      </w:tr>
      <w:tr>
        <w:trPr>
          <w:cantSplit/>
        </w:trPr>
        <w:tc>
          <w:tcPr>
            <w:tcW w:type="dxa" w:w="1584"/>
            <w:vAlign w:val="center"/>
          </w:tcPr>
          <w:p>
            <w:pPr>
              <w:spacing w:after="0"/>
            </w:pPr>
            <w:r/>
            <w:r>
              <w:rPr>
                <w:rFonts w:ascii="Carlito" w:hAnsi="Carlito"/>
                <w:b w:val="0"/>
                <w:color w:val="232323"/>
                <w:sz w:val="17"/>
              </w:rPr>
              <w:t>Table 5</w:t>
            </w:r>
          </w:p>
        </w:tc>
        <w:tc>
          <w:tcPr>
            <w:tcW w:type="dxa" w:w="8496"/>
            <w:vAlign w:val="center"/>
          </w:tcPr>
          <w:p>
            <w:pPr>
              <w:spacing w:after="0"/>
            </w:pPr>
            <w:r/>
            <w:r>
              <w:rPr>
                <w:rFonts w:ascii="Carlito" w:hAnsi="Carlito"/>
                <w:b w:val="0"/>
                <w:color w:val="232323"/>
                <w:sz w:val="17"/>
              </w:rPr>
              <w:t>Connectivity critique results</w:t>
            </w:r>
          </w:p>
        </w:tc>
      </w:tr>
      <w:tr>
        <w:trPr>
          <w:cantSplit/>
        </w:trPr>
        <w:tc>
          <w:tcPr>
            <w:tcW w:type="dxa" w:w="1584"/>
            <w:vAlign w:val="center"/>
            <w:shd w:fill="F4F6F8"/>
          </w:tcPr>
          <w:p>
            <w:pPr>
              <w:spacing w:after="0"/>
            </w:pPr>
            <w:r/>
            <w:r>
              <w:rPr>
                <w:rFonts w:ascii="Carlito" w:hAnsi="Carlito"/>
                <w:b w:val="0"/>
                <w:color w:val="232323"/>
                <w:sz w:val="17"/>
              </w:rPr>
              <w:t>Table 6</w:t>
            </w:r>
          </w:p>
        </w:tc>
        <w:tc>
          <w:tcPr>
            <w:tcW w:type="dxa" w:w="8496"/>
            <w:vAlign w:val="center"/>
            <w:shd w:fill="F4F6F8"/>
          </w:tcPr>
          <w:p>
            <w:pPr>
              <w:spacing w:after="0"/>
            </w:pPr>
            <w:r/>
            <w:r>
              <w:rPr>
                <w:rFonts w:ascii="Carlito" w:hAnsi="Carlito"/>
                <w:b w:val="0"/>
                <w:color w:val="232323"/>
                <w:sz w:val="17"/>
              </w:rPr>
              <w:t>Specificity + MMSE evidence matrix</w:t>
            </w:r>
          </w:p>
        </w:tc>
      </w:tr>
      <w:tr>
        <w:trPr>
          <w:cantSplit/>
        </w:trPr>
        <w:tc>
          <w:tcPr>
            <w:tcW w:type="dxa" w:w="1584"/>
            <w:vAlign w:val="center"/>
          </w:tcPr>
          <w:p>
            <w:pPr>
              <w:spacing w:after="0"/>
            </w:pPr>
            <w:r/>
            <w:r>
              <w:rPr>
                <w:rFonts w:ascii="Carlito" w:hAnsi="Carlito"/>
                <w:b w:val="0"/>
                <w:color w:val="232323"/>
                <w:sz w:val="17"/>
              </w:rPr>
              <w:t>Table 7</w:t>
            </w:r>
          </w:p>
        </w:tc>
        <w:tc>
          <w:tcPr>
            <w:tcW w:type="dxa" w:w="8496"/>
            <w:vAlign w:val="center"/>
          </w:tcPr>
          <w:p>
            <w:pPr>
              <w:spacing w:after="0"/>
            </w:pPr>
            <w:r/>
            <w:r>
              <w:rPr>
                <w:rFonts w:ascii="Carlito" w:hAnsi="Carlito"/>
                <w:b w:val="0"/>
                <w:color w:val="232323"/>
                <w:sz w:val="17"/>
              </w:rPr>
              <w:t>ML models and outer-CV metrics with CIs</w:t>
            </w:r>
          </w:p>
        </w:tc>
      </w:tr>
      <w:tr>
        <w:trPr>
          <w:cantSplit/>
        </w:trPr>
        <w:tc>
          <w:tcPr>
            <w:tcW w:type="dxa" w:w="1584"/>
            <w:vAlign w:val="center"/>
            <w:shd w:fill="F4F6F8"/>
          </w:tcPr>
          <w:p>
            <w:pPr>
              <w:spacing w:after="0"/>
            </w:pPr>
            <w:r/>
            <w:r>
              <w:rPr>
                <w:rFonts w:ascii="Carlito" w:hAnsi="Carlito"/>
                <w:b w:val="0"/>
                <w:color w:val="232323"/>
                <w:sz w:val="17"/>
              </w:rPr>
              <w:t>Table 8</w:t>
            </w:r>
          </w:p>
        </w:tc>
        <w:tc>
          <w:tcPr>
            <w:tcW w:type="dxa" w:w="8496"/>
            <w:vAlign w:val="center"/>
            <w:shd w:fill="F4F6F8"/>
          </w:tcPr>
          <w:p>
            <w:pPr>
              <w:spacing w:after="0"/>
            </w:pPr>
            <w:r/>
            <w:r>
              <w:rPr>
                <w:rFonts w:ascii="Carlito" w:hAnsi="Carlito"/>
                <w:b w:val="0"/>
                <w:color w:val="232323"/>
                <w:sz w:val="17"/>
              </w:rPr>
              <w:t>Final biomarker tier assignment</w:t>
            </w:r>
          </w:p>
        </w:tc>
      </w:tr>
      <w:tr>
        <w:trPr>
          <w:cantSplit/>
        </w:trPr>
        <w:tc>
          <w:tcPr>
            <w:tcW w:type="dxa" w:w="1584"/>
            <w:vAlign w:val="center"/>
          </w:tcPr>
          <w:p>
            <w:pPr>
              <w:spacing w:after="0"/>
            </w:pPr>
            <w:r/>
            <w:r>
              <w:rPr>
                <w:rFonts w:ascii="Carlito" w:hAnsi="Carlito"/>
                <w:b w:val="0"/>
                <w:color w:val="232323"/>
                <w:sz w:val="17"/>
              </w:rPr>
              <w:t>Table 9</w:t>
            </w:r>
          </w:p>
        </w:tc>
        <w:tc>
          <w:tcPr>
            <w:tcW w:type="dxa" w:w="8496"/>
            <w:vAlign w:val="center"/>
          </w:tcPr>
          <w:p>
            <w:pPr>
              <w:spacing w:after="0"/>
            </w:pPr>
            <w:r/>
            <w:r>
              <w:rPr>
                <w:rFonts w:ascii="Carlito" w:hAnsi="Carlito"/>
                <w:b w:val="0"/>
                <w:color w:val="232323"/>
                <w:sz w:val="17"/>
              </w:rPr>
              <w:t>Candidate montages and preservation metrics</w:t>
            </w:r>
          </w:p>
        </w:tc>
      </w:tr>
    </w:tbl>
    <w:p>
      <w:pPr>
        <w:spacing w:after="0"/>
      </w:pPr>
    </w:p>
    <w:p>
      <w:pPr>
        <w:pStyle w:val="Heading2"/>
        <w:keepNext/>
      </w:pPr>
      <w:r>
        <w:t>20.3 Reporting conventions</w:t>
      </w:r>
    </w:p>
    <w:p>
      <w:pPr>
        <w:pStyle w:val="ListBullet"/>
        <w:spacing w:after="40"/>
      </w:pPr>
      <w:r>
        <w:rPr>
          <w:rFonts w:ascii="Carlito" w:hAnsi="Carlito"/>
          <w:sz w:val="20"/>
        </w:rPr>
        <w:t>Always report independent subject n alongside any number of windows.</w:t>
      </w:r>
    </w:p>
    <w:p>
      <w:pPr>
        <w:pStyle w:val="ListBullet"/>
        <w:spacing w:after="40"/>
      </w:pPr>
      <w:r>
        <w:rPr>
          <w:rFonts w:ascii="Carlito" w:hAnsi="Carlito"/>
          <w:sz w:val="20"/>
        </w:rPr>
        <w:t>Report confidence intervals for key effects and performance metrics.</w:t>
      </w:r>
    </w:p>
    <w:p>
      <w:pPr>
        <w:pStyle w:val="ListBullet"/>
        <w:spacing w:after="40"/>
      </w:pPr>
      <w:r>
        <w:rPr>
          <w:rFonts w:ascii="Carlito" w:hAnsi="Carlito"/>
          <w:sz w:val="20"/>
        </w:rPr>
        <w:t>Separate exploratory analyses from pre-specified analyses.</w:t>
      </w:r>
    </w:p>
    <w:p>
      <w:pPr>
        <w:pStyle w:val="ListBullet"/>
        <w:spacing w:after="40"/>
      </w:pPr>
      <w:r>
        <w:rPr>
          <w:rFonts w:ascii="Carlito" w:hAnsi="Carlito"/>
          <w:sz w:val="20"/>
        </w:rPr>
        <w:t>State exactly where feature/channel selection occurs in CV.</w:t>
      </w:r>
    </w:p>
    <w:p>
      <w:pPr>
        <w:pStyle w:val="ListBullet"/>
        <w:spacing w:after="40"/>
      </w:pPr>
      <w:r>
        <w:rPr>
          <w:rFonts w:ascii="Carlito" w:hAnsi="Carlito"/>
          <w:sz w:val="20"/>
        </w:rPr>
        <w:t>Use "classification" or "discrimination" rather than "diagnosis" when describing model output.</w:t>
      </w:r>
    </w:p>
    <w:p>
      <w:pPr>
        <w:pStyle w:val="ListBullet"/>
        <w:spacing w:after="40"/>
      </w:pPr>
      <w:r>
        <w:rPr>
          <w:rFonts w:ascii="Carlito" w:hAnsi="Carlito"/>
          <w:sz w:val="20"/>
        </w:rPr>
        <w:t>Do not call a signal AD-specific without an AD-vs-FTD test.</w:t>
      </w:r>
    </w:p>
    <w:p>
      <w:r>
        <w:br w:type="page"/>
      </w:r>
    </w:p>
    <w:p>
      <w:pPr>
        <w:pStyle w:val="Heading1"/>
        <w:keepNext/>
      </w:pPr>
      <w:r>
        <w:t>21. Milestones and Execution Order</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2016"/>
            <w:vAlign w:val="center"/>
            <w:shd w:fill="1B3A6B"/>
          </w:tcPr>
          <w:p>
            <w:pPr>
              <w:spacing w:after="0"/>
            </w:pPr>
            <w:r/>
            <w:r>
              <w:rPr>
                <w:rFonts w:ascii="Carlito" w:hAnsi="Carlito"/>
                <w:b/>
                <w:color w:val="FFFFFF"/>
                <w:sz w:val="18"/>
              </w:rPr>
              <w:t>Milestone</w:t>
            </w:r>
          </w:p>
        </w:tc>
        <w:tc>
          <w:tcPr>
            <w:tcW w:type="dxa" w:w="5040"/>
            <w:vAlign w:val="center"/>
            <w:shd w:fill="1B3A6B"/>
          </w:tcPr>
          <w:p>
            <w:pPr>
              <w:spacing w:after="0"/>
            </w:pPr>
            <w:r/>
            <w:r>
              <w:rPr>
                <w:rFonts w:ascii="Carlito" w:hAnsi="Carlito"/>
                <w:b/>
                <w:color w:val="FFFFFF"/>
                <w:sz w:val="18"/>
              </w:rPr>
              <w:t>Work</w:t>
            </w:r>
          </w:p>
        </w:tc>
        <w:tc>
          <w:tcPr>
            <w:tcW w:type="dxa" w:w="3024"/>
            <w:vAlign w:val="center"/>
            <w:shd w:fill="1B3A6B"/>
          </w:tcPr>
          <w:p>
            <w:pPr>
              <w:spacing w:after="0"/>
            </w:pPr>
            <w:r/>
            <w:r>
              <w:rPr>
                <w:rFonts w:ascii="Carlito" w:hAnsi="Carlito"/>
                <w:b/>
                <w:color w:val="FFFFFF"/>
                <w:sz w:val="18"/>
              </w:rPr>
              <w:t>Gate before continuing</w:t>
            </w:r>
          </w:p>
        </w:tc>
      </w:tr>
      <w:tr>
        <w:trPr>
          <w:cantSplit/>
        </w:trPr>
        <w:tc>
          <w:tcPr>
            <w:tcW w:type="dxa" w:w="2016"/>
            <w:vAlign w:val="center"/>
          </w:tcPr>
          <w:p>
            <w:pPr>
              <w:spacing w:after="0"/>
            </w:pPr>
            <w:r/>
            <w:r>
              <w:rPr>
                <w:rFonts w:ascii="Carlito" w:hAnsi="Carlito"/>
                <w:b w:val="0"/>
                <w:color w:val="232323"/>
                <w:sz w:val="17"/>
              </w:rPr>
              <w:t>M1 - Environment</w:t>
            </w:r>
          </w:p>
        </w:tc>
        <w:tc>
          <w:tcPr>
            <w:tcW w:type="dxa" w:w="5040"/>
            <w:vAlign w:val="center"/>
          </w:tcPr>
          <w:p>
            <w:pPr>
              <w:spacing w:after="0"/>
            </w:pPr>
            <w:r/>
            <w:r>
              <w:rPr>
                <w:rFonts w:ascii="Carlito" w:hAnsi="Carlito"/>
                <w:b w:val="0"/>
                <w:color w:val="232323"/>
                <w:sz w:val="17"/>
              </w:rPr>
              <w:t>Repo, environment, config, dataset snapshot</w:t>
            </w:r>
          </w:p>
        </w:tc>
        <w:tc>
          <w:tcPr>
            <w:tcW w:type="dxa" w:w="3024"/>
            <w:vAlign w:val="center"/>
          </w:tcPr>
          <w:p>
            <w:pPr>
              <w:spacing w:after="0"/>
            </w:pPr>
            <w:r/>
            <w:r>
              <w:rPr>
                <w:rFonts w:ascii="Carlito" w:hAnsi="Carlito"/>
                <w:b w:val="0"/>
                <w:color w:val="232323"/>
                <w:sz w:val="17"/>
              </w:rPr>
              <w:t>Code runs from clean environment</w:t>
            </w:r>
          </w:p>
        </w:tc>
      </w:tr>
      <w:tr>
        <w:trPr>
          <w:cantSplit/>
        </w:trPr>
        <w:tc>
          <w:tcPr>
            <w:tcW w:type="dxa" w:w="2016"/>
            <w:vAlign w:val="center"/>
            <w:shd w:fill="F4F6F8"/>
          </w:tcPr>
          <w:p>
            <w:pPr>
              <w:spacing w:after="0"/>
            </w:pPr>
            <w:r/>
            <w:r>
              <w:rPr>
                <w:rFonts w:ascii="Carlito" w:hAnsi="Carlito"/>
                <w:b w:val="0"/>
                <w:color w:val="232323"/>
                <w:sz w:val="17"/>
              </w:rPr>
              <w:t>M2 - Ingestion/QC</w:t>
            </w:r>
          </w:p>
        </w:tc>
        <w:tc>
          <w:tcPr>
            <w:tcW w:type="dxa" w:w="5040"/>
            <w:vAlign w:val="center"/>
            <w:shd w:fill="F4F6F8"/>
          </w:tcPr>
          <w:p>
            <w:pPr>
              <w:spacing w:after="0"/>
            </w:pPr>
            <w:r/>
            <w:r>
              <w:rPr>
                <w:rFonts w:ascii="Carlito" w:hAnsi="Carlito"/>
                <w:b w:val="0"/>
                <w:color w:val="232323"/>
                <w:sz w:val="17"/>
              </w:rPr>
              <w:t>Load 88 subjects, metadata, QC report</w:t>
            </w:r>
          </w:p>
        </w:tc>
        <w:tc>
          <w:tcPr>
            <w:tcW w:type="dxa" w:w="3024"/>
            <w:vAlign w:val="center"/>
            <w:shd w:fill="F4F6F8"/>
          </w:tcPr>
          <w:p>
            <w:pPr>
              <w:spacing w:after="0"/>
            </w:pPr>
            <w:r/>
            <w:r>
              <w:rPr>
                <w:rFonts w:ascii="Carlito" w:hAnsi="Carlito"/>
                <w:b w:val="0"/>
                <w:color w:val="232323"/>
                <w:sz w:val="17"/>
              </w:rPr>
              <w:t>All subjects accounted for</w:t>
            </w:r>
          </w:p>
        </w:tc>
      </w:tr>
      <w:tr>
        <w:trPr>
          <w:cantSplit/>
        </w:trPr>
        <w:tc>
          <w:tcPr>
            <w:tcW w:type="dxa" w:w="2016"/>
            <w:vAlign w:val="center"/>
          </w:tcPr>
          <w:p>
            <w:pPr>
              <w:spacing w:after="0"/>
            </w:pPr>
            <w:r/>
            <w:r>
              <w:rPr>
                <w:rFonts w:ascii="Carlito" w:hAnsi="Carlito"/>
                <w:b w:val="0"/>
                <w:color w:val="232323"/>
                <w:sz w:val="17"/>
              </w:rPr>
              <w:t>M3 - DICE features</w:t>
            </w:r>
          </w:p>
        </w:tc>
        <w:tc>
          <w:tcPr>
            <w:tcW w:type="dxa" w:w="5040"/>
            <w:vAlign w:val="center"/>
          </w:tcPr>
          <w:p>
            <w:pPr>
              <w:spacing w:after="0"/>
            </w:pPr>
            <w:r/>
            <w:r>
              <w:rPr>
                <w:rFonts w:ascii="Carlito" w:hAnsi="Carlito"/>
                <w:b w:val="0"/>
                <w:color w:val="232323"/>
                <w:sz w:val="17"/>
              </w:rPr>
              <w:t>RBP + SCC replication</w:t>
            </w:r>
          </w:p>
        </w:tc>
        <w:tc>
          <w:tcPr>
            <w:tcW w:type="dxa" w:w="3024"/>
            <w:vAlign w:val="center"/>
          </w:tcPr>
          <w:p>
            <w:pPr>
              <w:spacing w:after="0"/>
            </w:pPr>
            <w:r/>
            <w:r>
              <w:rPr>
                <w:rFonts w:ascii="Carlito" w:hAnsi="Carlito"/>
                <w:b w:val="0"/>
                <w:color w:val="232323"/>
                <w:sz w:val="17"/>
              </w:rPr>
              <w:t>Feature values/plots validated</w:t>
            </w:r>
          </w:p>
        </w:tc>
      </w:tr>
      <w:tr>
        <w:trPr>
          <w:cantSplit/>
        </w:trPr>
        <w:tc>
          <w:tcPr>
            <w:tcW w:type="dxa" w:w="2016"/>
            <w:vAlign w:val="center"/>
            <w:shd w:fill="F4F6F8"/>
          </w:tcPr>
          <w:p>
            <w:pPr>
              <w:spacing w:after="0"/>
            </w:pPr>
            <w:r/>
            <w:r>
              <w:rPr>
                <w:rFonts w:ascii="Carlito" w:hAnsi="Carlito"/>
                <w:b w:val="0"/>
                <w:color w:val="232323"/>
                <w:sz w:val="17"/>
              </w:rPr>
              <w:t>M4 - Spectral critique</w:t>
            </w:r>
          </w:p>
        </w:tc>
        <w:tc>
          <w:tcPr>
            <w:tcW w:type="dxa" w:w="5040"/>
            <w:vAlign w:val="center"/>
            <w:shd w:fill="F4F6F8"/>
          </w:tcPr>
          <w:p>
            <w:pPr>
              <w:spacing w:after="0"/>
            </w:pPr>
            <w:r/>
            <w:r>
              <w:rPr>
                <w:rFonts w:ascii="Carlito" w:hAnsi="Carlito"/>
                <w:b w:val="0"/>
                <w:color w:val="232323"/>
                <w:sz w:val="17"/>
              </w:rPr>
              <w:t>IAF, absolute power, specparam</w:t>
            </w:r>
          </w:p>
        </w:tc>
        <w:tc>
          <w:tcPr>
            <w:tcW w:type="dxa" w:w="3024"/>
            <w:vAlign w:val="center"/>
            <w:shd w:fill="F4F6F8"/>
          </w:tcPr>
          <w:p>
            <w:pPr>
              <w:spacing w:after="0"/>
            </w:pPr>
            <w:r/>
            <w:r>
              <w:rPr>
                <w:rFonts w:ascii="Carlito" w:hAnsi="Carlito"/>
                <w:b w:val="0"/>
                <w:color w:val="232323"/>
                <w:sz w:val="17"/>
              </w:rPr>
              <w:t>QC of peaks/fits complete</w:t>
            </w:r>
          </w:p>
        </w:tc>
      </w:tr>
      <w:tr>
        <w:trPr>
          <w:cantSplit/>
        </w:trPr>
        <w:tc>
          <w:tcPr>
            <w:tcW w:type="dxa" w:w="2016"/>
            <w:vAlign w:val="center"/>
          </w:tcPr>
          <w:p>
            <w:pPr>
              <w:spacing w:after="0"/>
            </w:pPr>
            <w:r/>
            <w:r>
              <w:rPr>
                <w:rFonts w:ascii="Carlito" w:hAnsi="Carlito"/>
                <w:b w:val="0"/>
                <w:color w:val="232323"/>
                <w:sz w:val="17"/>
              </w:rPr>
              <w:t>M5 - Connectivity critique</w:t>
            </w:r>
          </w:p>
        </w:tc>
        <w:tc>
          <w:tcPr>
            <w:tcW w:type="dxa" w:w="5040"/>
            <w:vAlign w:val="center"/>
          </w:tcPr>
          <w:p>
            <w:pPr>
              <w:spacing w:after="0"/>
            </w:pPr>
            <w:r/>
            <w:r>
              <w:rPr>
                <w:rFonts w:ascii="Carlito" w:hAnsi="Carlito"/>
                <w:b w:val="0"/>
                <w:color w:val="232323"/>
                <w:sz w:val="17"/>
              </w:rPr>
              <w:t>wPLI, ImCoh, reference checks</w:t>
            </w:r>
          </w:p>
        </w:tc>
        <w:tc>
          <w:tcPr>
            <w:tcW w:type="dxa" w:w="3024"/>
            <w:vAlign w:val="center"/>
          </w:tcPr>
          <w:p>
            <w:pPr>
              <w:spacing w:after="0"/>
            </w:pPr>
            <w:r/>
            <w:r>
              <w:rPr>
                <w:rFonts w:ascii="Carlito" w:hAnsi="Carlito"/>
                <w:b w:val="0"/>
                <w:color w:val="232323"/>
                <w:sz w:val="17"/>
              </w:rPr>
              <w:t>Estimator outputs validated</w:t>
            </w:r>
          </w:p>
        </w:tc>
      </w:tr>
      <w:tr>
        <w:trPr>
          <w:cantSplit/>
        </w:trPr>
        <w:tc>
          <w:tcPr>
            <w:tcW w:type="dxa" w:w="2016"/>
            <w:vAlign w:val="center"/>
            <w:shd w:fill="F4F6F8"/>
          </w:tcPr>
          <w:p>
            <w:pPr>
              <w:spacing w:after="0"/>
            </w:pPr>
            <w:r/>
            <w:r>
              <w:rPr>
                <w:rFonts w:ascii="Carlito" w:hAnsi="Carlito"/>
                <w:b w:val="0"/>
                <w:color w:val="232323"/>
                <w:sz w:val="17"/>
              </w:rPr>
              <w:t>M6 - Specificity/clinical</w:t>
            </w:r>
          </w:p>
        </w:tc>
        <w:tc>
          <w:tcPr>
            <w:tcW w:type="dxa" w:w="5040"/>
            <w:vAlign w:val="center"/>
            <w:shd w:fill="F4F6F8"/>
          </w:tcPr>
          <w:p>
            <w:pPr>
              <w:spacing w:after="0"/>
            </w:pPr>
            <w:r/>
            <w:r>
              <w:rPr>
                <w:rFonts w:ascii="Carlito" w:hAnsi="Carlito"/>
                <w:b w:val="0"/>
                <w:color w:val="232323"/>
                <w:sz w:val="17"/>
              </w:rPr>
              <w:t>AD/FTD/CN + MMSE</w:t>
            </w:r>
          </w:p>
        </w:tc>
        <w:tc>
          <w:tcPr>
            <w:tcW w:type="dxa" w:w="3024"/>
            <w:vAlign w:val="center"/>
            <w:shd w:fill="F4F6F8"/>
          </w:tcPr>
          <w:p>
            <w:pPr>
              <w:spacing w:after="0"/>
            </w:pPr>
            <w:r/>
            <w:r>
              <w:rPr>
                <w:rFonts w:ascii="Carlito" w:hAnsi="Carlito"/>
                <w:b w:val="0"/>
                <w:color w:val="232323"/>
                <w:sz w:val="17"/>
              </w:rPr>
              <w:t>Effect-size matrix complete</w:t>
            </w:r>
          </w:p>
        </w:tc>
      </w:tr>
      <w:tr>
        <w:trPr>
          <w:cantSplit/>
        </w:trPr>
        <w:tc>
          <w:tcPr>
            <w:tcW w:type="dxa" w:w="2016"/>
            <w:vAlign w:val="center"/>
          </w:tcPr>
          <w:p>
            <w:pPr>
              <w:spacing w:after="0"/>
            </w:pPr>
            <w:r/>
            <w:r>
              <w:rPr>
                <w:rFonts w:ascii="Carlito" w:hAnsi="Carlito"/>
                <w:b w:val="0"/>
                <w:color w:val="232323"/>
                <w:sz w:val="17"/>
              </w:rPr>
              <w:t>M7 - ML benchmark</w:t>
            </w:r>
          </w:p>
        </w:tc>
        <w:tc>
          <w:tcPr>
            <w:tcW w:type="dxa" w:w="5040"/>
            <w:vAlign w:val="center"/>
          </w:tcPr>
          <w:p>
            <w:pPr>
              <w:spacing w:after="0"/>
            </w:pPr>
            <w:r/>
            <w:r>
              <w:rPr>
                <w:rFonts w:ascii="Carlito" w:hAnsi="Carlito"/>
                <w:b w:val="0"/>
                <w:color w:val="232323"/>
                <w:sz w:val="17"/>
              </w:rPr>
              <w:t>Nested subject-wise CV</w:t>
            </w:r>
          </w:p>
        </w:tc>
        <w:tc>
          <w:tcPr>
            <w:tcW w:type="dxa" w:w="3024"/>
            <w:vAlign w:val="center"/>
          </w:tcPr>
          <w:p>
            <w:pPr>
              <w:spacing w:after="0"/>
            </w:pPr>
            <w:r/>
            <w:r>
              <w:rPr>
                <w:rFonts w:ascii="Carlito" w:hAnsi="Carlito"/>
                <w:b w:val="0"/>
                <w:color w:val="232323"/>
                <w:sz w:val="17"/>
              </w:rPr>
              <w:t>No leakage; uncertainty reported</w:t>
            </w:r>
          </w:p>
        </w:tc>
      </w:tr>
      <w:tr>
        <w:trPr>
          <w:cantSplit/>
        </w:trPr>
        <w:tc>
          <w:tcPr>
            <w:tcW w:type="dxa" w:w="2016"/>
            <w:vAlign w:val="center"/>
            <w:shd w:fill="F4F6F8"/>
          </w:tcPr>
          <w:p>
            <w:pPr>
              <w:spacing w:after="0"/>
            </w:pPr>
            <w:r/>
            <w:r>
              <w:rPr>
                <w:rFonts w:ascii="Carlito" w:hAnsi="Carlito"/>
                <w:b w:val="0"/>
                <w:color w:val="232323"/>
                <w:sz w:val="17"/>
              </w:rPr>
              <w:t>M8 - Biomarker decision</w:t>
            </w:r>
          </w:p>
        </w:tc>
        <w:tc>
          <w:tcPr>
            <w:tcW w:type="dxa" w:w="5040"/>
            <w:vAlign w:val="center"/>
            <w:shd w:fill="F4F6F8"/>
          </w:tcPr>
          <w:p>
            <w:pPr>
              <w:spacing w:after="0"/>
            </w:pPr>
            <w:r/>
            <w:r>
              <w:rPr>
                <w:rFonts w:ascii="Carlito" w:hAnsi="Carlito"/>
                <w:b w:val="0"/>
                <w:color w:val="232323"/>
                <w:sz w:val="17"/>
              </w:rPr>
              <w:t>Tier A-D classification</w:t>
            </w:r>
          </w:p>
        </w:tc>
        <w:tc>
          <w:tcPr>
            <w:tcW w:type="dxa" w:w="3024"/>
            <w:vAlign w:val="center"/>
            <w:shd w:fill="F4F6F8"/>
          </w:tcPr>
          <w:p>
            <w:pPr>
              <w:spacing w:after="0"/>
            </w:pPr>
            <w:r/>
            <w:r>
              <w:rPr>
                <w:rFonts w:ascii="Carlito" w:hAnsi="Carlito"/>
                <w:b w:val="0"/>
                <w:color w:val="232323"/>
                <w:sz w:val="17"/>
              </w:rPr>
              <w:t>Robust set locked</w:t>
            </w:r>
          </w:p>
        </w:tc>
      </w:tr>
      <w:tr>
        <w:trPr>
          <w:cantSplit/>
        </w:trPr>
        <w:tc>
          <w:tcPr>
            <w:tcW w:type="dxa" w:w="2016"/>
            <w:vAlign w:val="center"/>
          </w:tcPr>
          <w:p>
            <w:pPr>
              <w:spacing w:after="0"/>
            </w:pPr>
            <w:r/>
            <w:r>
              <w:rPr>
                <w:rFonts w:ascii="Carlito" w:hAnsi="Carlito"/>
                <w:b w:val="0"/>
                <w:color w:val="232323"/>
                <w:sz w:val="17"/>
              </w:rPr>
              <w:t>M9 - Montage optimization</w:t>
            </w:r>
          </w:p>
        </w:tc>
        <w:tc>
          <w:tcPr>
            <w:tcW w:type="dxa" w:w="5040"/>
            <w:vAlign w:val="center"/>
          </w:tcPr>
          <w:p>
            <w:pPr>
              <w:spacing w:after="0"/>
            </w:pPr>
            <w:r/>
            <w:r>
              <w:rPr>
                <w:rFonts w:ascii="Carlito" w:hAnsi="Carlito"/>
                <w:b w:val="0"/>
                <w:color w:val="232323"/>
                <w:sz w:val="17"/>
              </w:rPr>
              <w:t>Nested channel selection</w:t>
            </w:r>
          </w:p>
        </w:tc>
        <w:tc>
          <w:tcPr>
            <w:tcW w:type="dxa" w:w="3024"/>
            <w:vAlign w:val="center"/>
          </w:tcPr>
          <w:p>
            <w:pPr>
              <w:spacing w:after="0"/>
            </w:pPr>
            <w:r/>
            <w:r>
              <w:rPr>
                <w:rFonts w:ascii="Carlito" w:hAnsi="Carlito"/>
                <w:b w:val="0"/>
                <w:color w:val="232323"/>
                <w:sz w:val="17"/>
              </w:rPr>
              <w:t>Minimum montage identified</w:t>
            </w:r>
          </w:p>
        </w:tc>
      </w:tr>
      <w:tr>
        <w:trPr>
          <w:cantSplit/>
        </w:trPr>
        <w:tc>
          <w:tcPr>
            <w:tcW w:type="dxa" w:w="2016"/>
            <w:vAlign w:val="center"/>
            <w:shd w:fill="F4F6F8"/>
          </w:tcPr>
          <w:p>
            <w:pPr>
              <w:spacing w:after="0"/>
            </w:pPr>
            <w:r/>
            <w:r>
              <w:rPr>
                <w:rFonts w:ascii="Carlito" w:hAnsi="Carlito"/>
                <w:b w:val="0"/>
                <w:color w:val="232323"/>
                <w:sz w:val="17"/>
              </w:rPr>
              <w:t>M10 - Final reporting</w:t>
            </w:r>
          </w:p>
        </w:tc>
        <w:tc>
          <w:tcPr>
            <w:tcW w:type="dxa" w:w="5040"/>
            <w:vAlign w:val="center"/>
            <w:shd w:fill="F4F6F8"/>
          </w:tcPr>
          <w:p>
            <w:pPr>
              <w:spacing w:after="0"/>
            </w:pPr>
            <w:r/>
            <w:r>
              <w:rPr>
                <w:rFonts w:ascii="Carlito" w:hAnsi="Carlito"/>
                <w:b w:val="0"/>
                <w:color w:val="232323"/>
                <w:sz w:val="17"/>
              </w:rPr>
              <w:t>Figures, paper-style report, README</w:t>
            </w:r>
          </w:p>
        </w:tc>
        <w:tc>
          <w:tcPr>
            <w:tcW w:type="dxa" w:w="3024"/>
            <w:vAlign w:val="center"/>
            <w:shd w:fill="F4F6F8"/>
          </w:tcPr>
          <w:p>
            <w:pPr>
              <w:spacing w:after="0"/>
            </w:pPr>
            <w:r/>
            <w:r>
              <w:rPr>
                <w:rFonts w:ascii="Carlito" w:hAnsi="Carlito"/>
                <w:b w:val="0"/>
                <w:color w:val="232323"/>
                <w:sz w:val="17"/>
              </w:rPr>
              <w:t>Reproducible from config</w:t>
            </w:r>
          </w:p>
        </w:tc>
      </w:tr>
    </w:tbl>
    <w:p>
      <w:pPr>
        <w:spacing w:after="0"/>
      </w:pPr>
    </w:p>
    <w:p>
      <w:pPr>
        <w:pStyle w:val="Heading2"/>
        <w:keepNext/>
      </w:pPr>
      <w:r>
        <w:t>21.1 First seven working days</w:t>
      </w:r>
    </w:p>
    <w:tbl>
      <w:tblPr>
        <w:tblStyle w:val="TableGrid"/>
        <w:tblW w:type="auto" w:w="0"/>
        <w:jc w:val="center"/>
        <w:tblLook w:firstColumn="1" w:firstRow="1" w:lastColumn="0" w:lastRow="0" w:noHBand="0" w:noVBand="1" w:val="04A0"/>
      </w:tblPr>
      <w:tblGrid>
        <w:gridCol w:w="4997"/>
        <w:gridCol w:w="4997"/>
      </w:tblGrid>
      <w:tr>
        <w:trPr>
          <w:cantSplit/>
        </w:trPr>
        <w:tc>
          <w:tcPr>
            <w:tcW w:type="dxa" w:w="1008"/>
            <w:vAlign w:val="center"/>
            <w:shd w:fill="1B3A6B"/>
          </w:tcPr>
          <w:p>
            <w:pPr>
              <w:spacing w:after="0"/>
            </w:pPr>
            <w:r/>
            <w:r>
              <w:rPr>
                <w:rFonts w:ascii="Carlito" w:hAnsi="Carlito"/>
                <w:b/>
                <w:color w:val="FFFFFF"/>
                <w:sz w:val="18"/>
              </w:rPr>
              <w:t>Day</w:t>
            </w:r>
          </w:p>
        </w:tc>
        <w:tc>
          <w:tcPr>
            <w:tcW w:type="dxa" w:w="9072"/>
            <w:vAlign w:val="center"/>
            <w:shd w:fill="1B3A6B"/>
          </w:tcPr>
          <w:p>
            <w:pPr>
              <w:spacing w:after="0"/>
            </w:pPr>
            <w:r/>
            <w:r>
              <w:rPr>
                <w:rFonts w:ascii="Carlito" w:hAnsi="Carlito"/>
                <w:b/>
                <w:color w:val="FFFFFF"/>
                <w:sz w:val="18"/>
              </w:rPr>
              <w:t>Concrete deliverable</w:t>
            </w:r>
          </w:p>
        </w:tc>
      </w:tr>
      <w:tr>
        <w:trPr>
          <w:cantSplit/>
        </w:trPr>
        <w:tc>
          <w:tcPr>
            <w:tcW w:type="dxa" w:w="1008"/>
            <w:vAlign w:val="center"/>
          </w:tcPr>
          <w:p>
            <w:pPr>
              <w:spacing w:after="0"/>
            </w:pPr>
            <w:r/>
            <w:r>
              <w:rPr>
                <w:rFonts w:ascii="Carlito" w:hAnsi="Carlito"/>
                <w:b w:val="0"/>
                <w:color w:val="232323"/>
                <w:sz w:val="17"/>
              </w:rPr>
              <w:t>1</w:t>
            </w:r>
          </w:p>
        </w:tc>
        <w:tc>
          <w:tcPr>
            <w:tcW w:type="dxa" w:w="9072"/>
            <w:vAlign w:val="center"/>
          </w:tcPr>
          <w:p>
            <w:pPr>
              <w:spacing w:after="0"/>
            </w:pPr>
            <w:r/>
            <w:r>
              <w:rPr>
                <w:rFonts w:ascii="Carlito" w:hAnsi="Carlito"/>
                <w:b w:val="0"/>
                <w:color w:val="232323"/>
                <w:sz w:val="17"/>
              </w:rPr>
              <w:t>Repository, environment, dataset v1.0.9, participants.tsv loaded</w:t>
            </w:r>
          </w:p>
        </w:tc>
      </w:tr>
      <w:tr>
        <w:trPr>
          <w:cantSplit/>
        </w:trPr>
        <w:tc>
          <w:tcPr>
            <w:tcW w:type="dxa" w:w="1008"/>
            <w:vAlign w:val="center"/>
            <w:shd w:fill="F4F6F8"/>
          </w:tcPr>
          <w:p>
            <w:pPr>
              <w:spacing w:after="0"/>
            </w:pPr>
            <w:r/>
            <w:r>
              <w:rPr>
                <w:rFonts w:ascii="Carlito" w:hAnsi="Carlito"/>
                <w:b w:val="0"/>
                <w:color w:val="232323"/>
                <w:sz w:val="17"/>
              </w:rPr>
              <w:t>2</w:t>
            </w:r>
          </w:p>
        </w:tc>
        <w:tc>
          <w:tcPr>
            <w:tcW w:type="dxa" w:w="9072"/>
            <w:vAlign w:val="center"/>
            <w:shd w:fill="F4F6F8"/>
          </w:tcPr>
          <w:p>
            <w:pPr>
              <w:spacing w:after="0"/>
            </w:pPr>
            <w:r/>
            <w:r>
              <w:rPr>
                <w:rFonts w:ascii="Carlito" w:hAnsi="Carlito"/>
                <w:b w:val="0"/>
                <w:color w:val="232323"/>
                <w:sz w:val="17"/>
              </w:rPr>
              <w:t>load_eeg.py + metadata.py; inspect sub-001 end-to-end</w:t>
            </w:r>
          </w:p>
        </w:tc>
      </w:tr>
      <w:tr>
        <w:trPr>
          <w:cantSplit/>
        </w:trPr>
        <w:tc>
          <w:tcPr>
            <w:tcW w:type="dxa" w:w="1008"/>
            <w:vAlign w:val="center"/>
          </w:tcPr>
          <w:p>
            <w:pPr>
              <w:spacing w:after="0"/>
            </w:pPr>
            <w:r/>
            <w:r>
              <w:rPr>
                <w:rFonts w:ascii="Carlito" w:hAnsi="Carlito"/>
                <w:b w:val="0"/>
                <w:color w:val="232323"/>
                <w:sz w:val="17"/>
              </w:rPr>
              <w:t>3</w:t>
            </w:r>
          </w:p>
        </w:tc>
        <w:tc>
          <w:tcPr>
            <w:tcW w:type="dxa" w:w="9072"/>
            <w:vAlign w:val="center"/>
          </w:tcPr>
          <w:p>
            <w:pPr>
              <w:spacing w:after="0"/>
            </w:pPr>
            <w:r/>
            <w:r>
              <w:rPr>
                <w:rFonts w:ascii="Carlito" w:hAnsi="Carlito"/>
                <w:b w:val="0"/>
                <w:color w:val="232323"/>
                <w:sz w:val="17"/>
              </w:rPr>
              <w:t>qc.py; full 88-subject QC table and PSD report</w:t>
            </w:r>
          </w:p>
        </w:tc>
      </w:tr>
      <w:tr>
        <w:trPr>
          <w:cantSplit/>
        </w:trPr>
        <w:tc>
          <w:tcPr>
            <w:tcW w:type="dxa" w:w="1008"/>
            <w:vAlign w:val="center"/>
            <w:shd w:fill="F4F6F8"/>
          </w:tcPr>
          <w:p>
            <w:pPr>
              <w:spacing w:after="0"/>
            </w:pPr>
            <w:r/>
            <w:r>
              <w:rPr>
                <w:rFonts w:ascii="Carlito" w:hAnsi="Carlito"/>
                <w:b w:val="0"/>
                <w:color w:val="232323"/>
                <w:sz w:val="17"/>
              </w:rPr>
              <w:t>4</w:t>
            </w:r>
          </w:p>
        </w:tc>
        <w:tc>
          <w:tcPr>
            <w:tcW w:type="dxa" w:w="9072"/>
            <w:vAlign w:val="center"/>
            <w:shd w:fill="F4F6F8"/>
          </w:tcPr>
          <w:p>
            <w:pPr>
              <w:spacing w:after="0"/>
            </w:pPr>
            <w:r/>
            <w:r>
              <w:rPr>
                <w:rFonts w:ascii="Carlito" w:hAnsi="Carlito"/>
                <w:b w:val="0"/>
                <w:color w:val="232323"/>
                <w:sz w:val="17"/>
              </w:rPr>
              <w:t>30 s / 15 s epoching with subject IDs preserved</w:t>
            </w:r>
          </w:p>
        </w:tc>
      </w:tr>
      <w:tr>
        <w:trPr>
          <w:cantSplit/>
        </w:trPr>
        <w:tc>
          <w:tcPr>
            <w:tcW w:type="dxa" w:w="1008"/>
            <w:vAlign w:val="center"/>
          </w:tcPr>
          <w:p>
            <w:pPr>
              <w:spacing w:after="0"/>
            </w:pPr>
            <w:r/>
            <w:r>
              <w:rPr>
                <w:rFonts w:ascii="Carlito" w:hAnsi="Carlito"/>
                <w:b w:val="0"/>
                <w:color w:val="232323"/>
                <w:sz w:val="17"/>
              </w:rPr>
              <w:t>5</w:t>
            </w:r>
          </w:p>
        </w:tc>
        <w:tc>
          <w:tcPr>
            <w:tcW w:type="dxa" w:w="9072"/>
            <w:vAlign w:val="center"/>
          </w:tcPr>
          <w:p>
            <w:pPr>
              <w:spacing w:after="0"/>
            </w:pPr>
            <w:r/>
            <w:r>
              <w:rPr>
                <w:rFonts w:ascii="Carlito" w:hAnsi="Carlito"/>
                <w:b w:val="0"/>
                <w:color w:val="232323"/>
                <w:sz w:val="17"/>
              </w:rPr>
              <w:t>RBP extractor and unit tests on synthetic signals</w:t>
            </w:r>
          </w:p>
        </w:tc>
      </w:tr>
      <w:tr>
        <w:trPr>
          <w:cantSplit/>
        </w:trPr>
        <w:tc>
          <w:tcPr>
            <w:tcW w:type="dxa" w:w="1008"/>
            <w:vAlign w:val="center"/>
            <w:shd w:fill="F4F6F8"/>
          </w:tcPr>
          <w:p>
            <w:pPr>
              <w:spacing w:after="0"/>
            </w:pPr>
            <w:r/>
            <w:r>
              <w:rPr>
                <w:rFonts w:ascii="Carlito" w:hAnsi="Carlito"/>
                <w:b w:val="0"/>
                <w:color w:val="232323"/>
                <w:sz w:val="17"/>
              </w:rPr>
              <w:t>6</w:t>
            </w:r>
          </w:p>
        </w:tc>
        <w:tc>
          <w:tcPr>
            <w:tcW w:type="dxa" w:w="9072"/>
            <w:vAlign w:val="center"/>
            <w:shd w:fill="F4F6F8"/>
          </w:tcPr>
          <w:p>
            <w:pPr>
              <w:spacing w:after="0"/>
            </w:pPr>
            <w:r/>
            <w:r>
              <w:rPr>
                <w:rFonts w:ascii="Carlito" w:hAnsi="Carlito"/>
                <w:b w:val="0"/>
                <w:color w:val="232323"/>
                <w:sz w:val="17"/>
              </w:rPr>
              <w:t>SCC extractor; full pairwise matrix + per-channel summary</w:t>
            </w:r>
          </w:p>
        </w:tc>
      </w:tr>
      <w:tr>
        <w:trPr>
          <w:cantSplit/>
        </w:trPr>
        <w:tc>
          <w:tcPr>
            <w:tcW w:type="dxa" w:w="1008"/>
            <w:vAlign w:val="center"/>
          </w:tcPr>
          <w:p>
            <w:pPr>
              <w:spacing w:after="0"/>
            </w:pPr>
            <w:r/>
            <w:r>
              <w:rPr>
                <w:rFonts w:ascii="Carlito" w:hAnsi="Carlito"/>
                <w:b w:val="0"/>
                <w:color w:val="232323"/>
                <w:sz w:val="17"/>
              </w:rPr>
              <w:t>7</w:t>
            </w:r>
          </w:p>
        </w:tc>
        <w:tc>
          <w:tcPr>
            <w:tcW w:type="dxa" w:w="9072"/>
            <w:vAlign w:val="center"/>
          </w:tcPr>
          <w:p>
            <w:pPr>
              <w:spacing w:after="0"/>
            </w:pPr>
            <w:r/>
            <w:r>
              <w:rPr>
                <w:rFonts w:ascii="Carlito" w:hAnsi="Carlito"/>
                <w:b w:val="0"/>
                <w:color w:val="232323"/>
                <w:sz w:val="17"/>
              </w:rPr>
              <w:t>First AD-CN replication plots and subject-level effect-size table</w:t>
            </w:r>
          </w:p>
        </w:tc>
      </w:tr>
    </w:tbl>
    <w:p>
      <w:pPr>
        <w:spacing w:after="0"/>
      </w:pPr>
    </w:p>
    <w:p>
      <w:pPr>
        <w:pStyle w:val="Heading1"/>
        <w:keepNext/>
      </w:pPr>
      <w:r>
        <w:t>22. Risk Register and Mitigation</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2376"/>
            <w:vAlign w:val="center"/>
            <w:shd w:fill="1B3A6B"/>
          </w:tcPr>
          <w:p>
            <w:pPr>
              <w:spacing w:after="0"/>
            </w:pPr>
            <w:r/>
            <w:r>
              <w:rPr>
                <w:rFonts w:ascii="Carlito" w:hAnsi="Carlito"/>
                <w:b/>
                <w:color w:val="FFFFFF"/>
                <w:sz w:val="18"/>
              </w:rPr>
              <w:t>Risk</w:t>
            </w:r>
          </w:p>
        </w:tc>
        <w:tc>
          <w:tcPr>
            <w:tcW w:type="dxa" w:w="3456"/>
            <w:vAlign w:val="center"/>
            <w:shd w:fill="1B3A6B"/>
          </w:tcPr>
          <w:p>
            <w:pPr>
              <w:spacing w:after="0"/>
            </w:pPr>
            <w:r/>
            <w:r>
              <w:rPr>
                <w:rFonts w:ascii="Carlito" w:hAnsi="Carlito"/>
                <w:b/>
                <w:color w:val="FFFFFF"/>
                <w:sz w:val="18"/>
              </w:rPr>
              <w:t>Consequence</w:t>
            </w:r>
          </w:p>
        </w:tc>
        <w:tc>
          <w:tcPr>
            <w:tcW w:type="dxa" w:w="4392"/>
            <w:vAlign w:val="center"/>
            <w:shd w:fill="1B3A6B"/>
          </w:tcPr>
          <w:p>
            <w:pPr>
              <w:spacing w:after="0"/>
            </w:pPr>
            <w:r/>
            <w:r>
              <w:rPr>
                <w:rFonts w:ascii="Carlito" w:hAnsi="Carlito"/>
                <w:b/>
                <w:color w:val="FFFFFF"/>
                <w:sz w:val="18"/>
              </w:rPr>
              <w:t>Mitigation</w:t>
            </w:r>
          </w:p>
        </w:tc>
      </w:tr>
      <w:tr>
        <w:trPr>
          <w:cantSplit/>
        </w:trPr>
        <w:tc>
          <w:tcPr>
            <w:tcW w:type="dxa" w:w="2376"/>
            <w:vAlign w:val="center"/>
          </w:tcPr>
          <w:p>
            <w:pPr>
              <w:spacing w:after="0"/>
            </w:pPr>
            <w:r/>
            <w:r>
              <w:rPr>
                <w:rFonts w:ascii="Carlito" w:hAnsi="Carlito"/>
                <w:b w:val="0"/>
                <w:color w:val="232323"/>
                <w:sz w:val="17"/>
              </w:rPr>
              <w:t>Epoch leakage</w:t>
            </w:r>
          </w:p>
        </w:tc>
        <w:tc>
          <w:tcPr>
            <w:tcW w:type="dxa" w:w="3456"/>
            <w:vAlign w:val="center"/>
          </w:tcPr>
          <w:p>
            <w:pPr>
              <w:spacing w:after="0"/>
            </w:pPr>
            <w:r/>
            <w:r>
              <w:rPr>
                <w:rFonts w:ascii="Carlito" w:hAnsi="Carlito"/>
                <w:b w:val="0"/>
                <w:color w:val="232323"/>
                <w:sz w:val="17"/>
              </w:rPr>
              <w:t>Artificially high accuracy</w:t>
            </w:r>
          </w:p>
        </w:tc>
        <w:tc>
          <w:tcPr>
            <w:tcW w:type="dxa" w:w="4392"/>
            <w:vAlign w:val="center"/>
          </w:tcPr>
          <w:p>
            <w:pPr>
              <w:spacing w:after="0"/>
            </w:pPr>
            <w:r/>
            <w:r>
              <w:rPr>
                <w:rFonts w:ascii="Carlito" w:hAnsi="Carlito"/>
                <w:b w:val="0"/>
                <w:color w:val="232323"/>
                <w:sz w:val="17"/>
              </w:rPr>
              <w:t>Group all splits by subject; automated split assertions</w:t>
            </w:r>
          </w:p>
        </w:tc>
      </w:tr>
      <w:tr>
        <w:trPr>
          <w:cantSplit/>
        </w:trPr>
        <w:tc>
          <w:tcPr>
            <w:tcW w:type="dxa" w:w="2376"/>
            <w:vAlign w:val="center"/>
            <w:shd w:fill="F4F6F8"/>
          </w:tcPr>
          <w:p>
            <w:pPr>
              <w:spacing w:after="0"/>
            </w:pPr>
            <w:r/>
            <w:r>
              <w:rPr>
                <w:rFonts w:ascii="Carlito" w:hAnsi="Carlito"/>
                <w:b w:val="0"/>
                <w:color w:val="232323"/>
                <w:sz w:val="17"/>
              </w:rPr>
              <w:t>Unequal windows per subject</w:t>
            </w:r>
          </w:p>
        </w:tc>
        <w:tc>
          <w:tcPr>
            <w:tcW w:type="dxa" w:w="3456"/>
            <w:vAlign w:val="center"/>
            <w:shd w:fill="F4F6F8"/>
          </w:tcPr>
          <w:p>
            <w:pPr>
              <w:spacing w:after="0"/>
            </w:pPr>
            <w:r/>
            <w:r>
              <w:rPr>
                <w:rFonts w:ascii="Carlito" w:hAnsi="Carlito"/>
                <w:b w:val="0"/>
                <w:color w:val="232323"/>
                <w:sz w:val="17"/>
              </w:rPr>
              <w:t>Long recordings dominate</w:t>
            </w:r>
          </w:p>
        </w:tc>
        <w:tc>
          <w:tcPr>
            <w:tcW w:type="dxa" w:w="4392"/>
            <w:vAlign w:val="center"/>
            <w:shd w:fill="F4F6F8"/>
          </w:tcPr>
          <w:p>
            <w:pPr>
              <w:spacing w:after="0"/>
            </w:pPr>
            <w:r/>
            <w:r>
              <w:rPr>
                <w:rFonts w:ascii="Carlito" w:hAnsi="Carlito"/>
                <w:b w:val="0"/>
                <w:color w:val="232323"/>
                <w:sz w:val="17"/>
              </w:rPr>
              <w:t>Subject-level summaries or balanced sampler</w:t>
            </w:r>
          </w:p>
        </w:tc>
      </w:tr>
      <w:tr>
        <w:trPr>
          <w:cantSplit/>
        </w:trPr>
        <w:tc>
          <w:tcPr>
            <w:tcW w:type="dxa" w:w="2376"/>
            <w:vAlign w:val="center"/>
          </w:tcPr>
          <w:p>
            <w:pPr>
              <w:spacing w:after="0"/>
            </w:pPr>
            <w:r/>
            <w:r>
              <w:rPr>
                <w:rFonts w:ascii="Carlito" w:hAnsi="Carlito"/>
                <w:b w:val="0"/>
                <w:color w:val="232323"/>
                <w:sz w:val="17"/>
              </w:rPr>
              <w:t>Overfitting 88 subjects</w:t>
            </w:r>
          </w:p>
        </w:tc>
        <w:tc>
          <w:tcPr>
            <w:tcW w:type="dxa" w:w="3456"/>
            <w:vAlign w:val="center"/>
          </w:tcPr>
          <w:p>
            <w:pPr>
              <w:spacing w:after="0"/>
            </w:pPr>
            <w:r/>
            <w:r>
              <w:rPr>
                <w:rFonts w:ascii="Carlito" w:hAnsi="Carlito"/>
                <w:b w:val="0"/>
                <w:color w:val="232323"/>
                <w:sz w:val="17"/>
              </w:rPr>
              <w:t>Unstable model / channel set</w:t>
            </w:r>
          </w:p>
        </w:tc>
        <w:tc>
          <w:tcPr>
            <w:tcW w:type="dxa" w:w="4392"/>
            <w:vAlign w:val="center"/>
          </w:tcPr>
          <w:p>
            <w:pPr>
              <w:spacing w:after="0"/>
            </w:pPr>
            <w:r/>
            <w:r>
              <w:rPr>
                <w:rFonts w:ascii="Carlito" w:hAnsi="Carlito"/>
                <w:b w:val="0"/>
                <w:color w:val="232323"/>
                <w:sz w:val="17"/>
              </w:rPr>
              <w:t>Simple models, nested CV, regularization, CIs</w:t>
            </w:r>
          </w:p>
        </w:tc>
      </w:tr>
      <w:tr>
        <w:trPr>
          <w:cantSplit/>
        </w:trPr>
        <w:tc>
          <w:tcPr>
            <w:tcW w:type="dxa" w:w="2376"/>
            <w:vAlign w:val="center"/>
            <w:shd w:fill="F4F6F8"/>
          </w:tcPr>
          <w:p>
            <w:pPr>
              <w:spacing w:after="0"/>
            </w:pPr>
            <w:r/>
            <w:r>
              <w:rPr>
                <w:rFonts w:ascii="Carlito" w:hAnsi="Carlito"/>
                <w:b w:val="0"/>
                <w:color w:val="232323"/>
                <w:sz w:val="17"/>
              </w:rPr>
              <w:t>Feature explosion</w:t>
            </w:r>
          </w:p>
        </w:tc>
        <w:tc>
          <w:tcPr>
            <w:tcW w:type="dxa" w:w="3456"/>
            <w:vAlign w:val="center"/>
            <w:shd w:fill="F4F6F8"/>
          </w:tcPr>
          <w:p>
            <w:pPr>
              <w:spacing w:after="0"/>
            </w:pPr>
            <w:r/>
            <w:r>
              <w:rPr>
                <w:rFonts w:ascii="Carlito" w:hAnsi="Carlito"/>
                <w:b w:val="0"/>
                <w:color w:val="232323"/>
                <w:sz w:val="17"/>
              </w:rPr>
              <w:t>Multiple-testing/selection instability</w:t>
            </w:r>
          </w:p>
        </w:tc>
        <w:tc>
          <w:tcPr>
            <w:tcW w:type="dxa" w:w="4392"/>
            <w:vAlign w:val="center"/>
            <w:shd w:fill="F4F6F8"/>
          </w:tcPr>
          <w:p>
            <w:pPr>
              <w:spacing w:after="0"/>
            </w:pPr>
            <w:r/>
            <w:r>
              <w:rPr>
                <w:rFonts w:ascii="Carlito" w:hAnsi="Carlito"/>
                <w:b w:val="0"/>
                <w:color w:val="232323"/>
                <w:sz w:val="17"/>
              </w:rPr>
              <w:t>Predefined families, FDR, dimensional summaries</w:t>
            </w:r>
          </w:p>
        </w:tc>
      </w:tr>
      <w:tr>
        <w:trPr>
          <w:cantSplit/>
        </w:trPr>
        <w:tc>
          <w:tcPr>
            <w:tcW w:type="dxa" w:w="2376"/>
            <w:vAlign w:val="center"/>
          </w:tcPr>
          <w:p>
            <w:pPr>
              <w:spacing w:after="0"/>
            </w:pPr>
            <w:r/>
            <w:r>
              <w:rPr>
                <w:rFonts w:ascii="Carlito" w:hAnsi="Carlito"/>
                <w:b w:val="0"/>
                <w:color w:val="232323"/>
                <w:sz w:val="17"/>
              </w:rPr>
              <w:t>IAF missing/weak peaks</w:t>
            </w:r>
          </w:p>
        </w:tc>
        <w:tc>
          <w:tcPr>
            <w:tcW w:type="dxa" w:w="3456"/>
            <w:vAlign w:val="center"/>
          </w:tcPr>
          <w:p>
            <w:pPr>
              <w:spacing w:after="0"/>
            </w:pPr>
            <w:r/>
            <w:r>
              <w:rPr>
                <w:rFonts w:ascii="Carlito" w:hAnsi="Carlito"/>
                <w:b w:val="0"/>
                <w:color w:val="232323"/>
                <w:sz w:val="17"/>
              </w:rPr>
              <w:t>Biased individualized-band subset</w:t>
            </w:r>
          </w:p>
        </w:tc>
        <w:tc>
          <w:tcPr>
            <w:tcW w:type="dxa" w:w="4392"/>
            <w:vAlign w:val="center"/>
          </w:tcPr>
          <w:p>
            <w:pPr>
              <w:spacing w:after="0"/>
            </w:pPr>
            <w:r/>
            <w:r>
              <w:rPr>
                <w:rFonts w:ascii="Carlito" w:hAnsi="Carlito"/>
                <w:b w:val="0"/>
                <w:color w:val="232323"/>
                <w:sz w:val="17"/>
              </w:rPr>
              <w:t>Explicit fit QC; report missingness; sensitivity analysis</w:t>
            </w:r>
          </w:p>
        </w:tc>
      </w:tr>
      <w:tr>
        <w:trPr>
          <w:cantSplit/>
        </w:trPr>
        <w:tc>
          <w:tcPr>
            <w:tcW w:type="dxa" w:w="2376"/>
            <w:vAlign w:val="center"/>
            <w:shd w:fill="F4F6F8"/>
          </w:tcPr>
          <w:p>
            <w:pPr>
              <w:spacing w:after="0"/>
            </w:pPr>
            <w:r/>
            <w:r>
              <w:rPr>
                <w:rFonts w:ascii="Carlito" w:hAnsi="Carlito"/>
                <w:b w:val="0"/>
                <w:color w:val="232323"/>
                <w:sz w:val="17"/>
              </w:rPr>
              <w:t>Coherence volume conduction</w:t>
            </w:r>
          </w:p>
        </w:tc>
        <w:tc>
          <w:tcPr>
            <w:tcW w:type="dxa" w:w="3456"/>
            <w:vAlign w:val="center"/>
            <w:shd w:fill="F4F6F8"/>
          </w:tcPr>
          <w:p>
            <w:pPr>
              <w:spacing w:after="0"/>
            </w:pPr>
            <w:r/>
            <w:r>
              <w:rPr>
                <w:rFonts w:ascii="Carlito" w:hAnsi="Carlito"/>
                <w:b w:val="0"/>
                <w:color w:val="232323"/>
                <w:sz w:val="17"/>
              </w:rPr>
              <w:t>False connectivity interpretation</w:t>
            </w:r>
          </w:p>
        </w:tc>
        <w:tc>
          <w:tcPr>
            <w:tcW w:type="dxa" w:w="4392"/>
            <w:vAlign w:val="center"/>
            <w:shd w:fill="F4F6F8"/>
          </w:tcPr>
          <w:p>
            <w:pPr>
              <w:spacing w:after="0"/>
            </w:pPr>
            <w:r/>
            <w:r>
              <w:rPr>
                <w:rFonts w:ascii="Carlito" w:hAnsi="Carlito"/>
                <w:b w:val="0"/>
                <w:color w:val="232323"/>
                <w:sz w:val="17"/>
              </w:rPr>
              <w:t>wPLI/ImCoh and reference sensitivity</w:t>
            </w:r>
          </w:p>
        </w:tc>
      </w:tr>
      <w:tr>
        <w:trPr>
          <w:cantSplit/>
        </w:trPr>
        <w:tc>
          <w:tcPr>
            <w:tcW w:type="dxa" w:w="2376"/>
            <w:vAlign w:val="center"/>
          </w:tcPr>
          <w:p>
            <w:pPr>
              <w:spacing w:after="0"/>
            </w:pPr>
            <w:r/>
            <w:r>
              <w:rPr>
                <w:rFonts w:ascii="Carlito" w:hAnsi="Carlito"/>
                <w:b w:val="0"/>
                <w:color w:val="232323"/>
                <w:sz w:val="17"/>
              </w:rPr>
              <w:t>Channel selection leakage</w:t>
            </w:r>
          </w:p>
        </w:tc>
        <w:tc>
          <w:tcPr>
            <w:tcW w:type="dxa" w:w="3456"/>
            <w:vAlign w:val="center"/>
          </w:tcPr>
          <w:p>
            <w:pPr>
              <w:spacing w:after="0"/>
            </w:pPr>
            <w:r/>
            <w:r>
              <w:rPr>
                <w:rFonts w:ascii="Carlito" w:hAnsi="Carlito"/>
                <w:b w:val="0"/>
                <w:color w:val="232323"/>
                <w:sz w:val="17"/>
              </w:rPr>
              <w:t>Optimistic reduced-montage results</w:t>
            </w:r>
          </w:p>
        </w:tc>
        <w:tc>
          <w:tcPr>
            <w:tcW w:type="dxa" w:w="4392"/>
            <w:vAlign w:val="center"/>
          </w:tcPr>
          <w:p>
            <w:pPr>
              <w:spacing w:after="0"/>
            </w:pPr>
            <w:r/>
            <w:r>
              <w:rPr>
                <w:rFonts w:ascii="Carlito" w:hAnsi="Carlito"/>
                <w:b w:val="0"/>
                <w:color w:val="232323"/>
                <w:sz w:val="17"/>
              </w:rPr>
              <w:t>Selection entirely inside outer training folds</w:t>
            </w:r>
          </w:p>
        </w:tc>
      </w:tr>
      <w:tr>
        <w:trPr>
          <w:cantSplit/>
        </w:trPr>
        <w:tc>
          <w:tcPr>
            <w:tcW w:type="dxa" w:w="2376"/>
            <w:vAlign w:val="center"/>
            <w:shd w:fill="F4F6F8"/>
          </w:tcPr>
          <w:p>
            <w:pPr>
              <w:spacing w:after="0"/>
            </w:pPr>
            <w:r/>
            <w:r>
              <w:rPr>
                <w:rFonts w:ascii="Carlito" w:hAnsi="Carlito"/>
                <w:b w:val="0"/>
                <w:color w:val="232323"/>
                <w:sz w:val="17"/>
              </w:rPr>
              <w:t>Clinical overclaim</w:t>
            </w:r>
          </w:p>
        </w:tc>
        <w:tc>
          <w:tcPr>
            <w:tcW w:type="dxa" w:w="3456"/>
            <w:vAlign w:val="center"/>
            <w:shd w:fill="F4F6F8"/>
          </w:tcPr>
          <w:p>
            <w:pPr>
              <w:spacing w:after="0"/>
            </w:pPr>
            <w:r/>
            <w:r>
              <w:rPr>
                <w:rFonts w:ascii="Carlito" w:hAnsi="Carlito"/>
                <w:b w:val="0"/>
                <w:color w:val="232323"/>
                <w:sz w:val="17"/>
              </w:rPr>
              <w:t>Invalid interpretation</w:t>
            </w:r>
          </w:p>
        </w:tc>
        <w:tc>
          <w:tcPr>
            <w:tcW w:type="dxa" w:w="4392"/>
            <w:vAlign w:val="center"/>
            <w:shd w:fill="F4F6F8"/>
          </w:tcPr>
          <w:p>
            <w:pPr>
              <w:spacing w:after="0"/>
            </w:pPr>
            <w:r/>
            <w:r>
              <w:rPr>
                <w:rFonts w:ascii="Carlito" w:hAnsi="Carlito"/>
                <w:b w:val="0"/>
                <w:color w:val="232323"/>
                <w:sz w:val="17"/>
              </w:rPr>
              <w:t>Use discrimination terminology; state cross-sectional limits</w:t>
            </w:r>
          </w:p>
        </w:tc>
      </w:tr>
      <w:tr>
        <w:trPr>
          <w:cantSplit/>
        </w:trPr>
        <w:tc>
          <w:tcPr>
            <w:tcW w:type="dxa" w:w="2376"/>
            <w:vAlign w:val="center"/>
          </w:tcPr>
          <w:p>
            <w:pPr>
              <w:spacing w:after="0"/>
            </w:pPr>
            <w:r/>
            <w:r>
              <w:rPr>
                <w:rFonts w:ascii="Carlito" w:hAnsi="Carlito"/>
                <w:b w:val="0"/>
                <w:color w:val="232323"/>
                <w:sz w:val="17"/>
              </w:rPr>
              <w:t>Replication mismatch</w:t>
            </w:r>
          </w:p>
        </w:tc>
        <w:tc>
          <w:tcPr>
            <w:tcW w:type="dxa" w:w="3456"/>
            <w:vAlign w:val="center"/>
          </w:tcPr>
          <w:p>
            <w:pPr>
              <w:spacing w:after="0"/>
            </w:pPr>
            <w:r/>
            <w:r>
              <w:rPr>
                <w:rFonts w:ascii="Carlito" w:hAnsi="Carlito"/>
                <w:b w:val="0"/>
                <w:color w:val="232323"/>
                <w:sz w:val="17"/>
              </w:rPr>
              <w:t>False criticism of DICE</w:t>
            </w:r>
          </w:p>
        </w:tc>
        <w:tc>
          <w:tcPr>
            <w:tcW w:type="dxa" w:w="4392"/>
            <w:vAlign w:val="center"/>
          </w:tcPr>
          <w:p>
            <w:pPr>
              <w:spacing w:after="0"/>
            </w:pPr>
            <w:r/>
            <w:r>
              <w:rPr>
                <w:rFonts w:ascii="Carlito" w:hAnsi="Carlito"/>
                <w:b w:val="0"/>
                <w:color w:val="232323"/>
                <w:sz w:val="17"/>
              </w:rPr>
              <w:t>Separate strict replication and critique tracks</w:t>
            </w:r>
          </w:p>
        </w:tc>
      </w:tr>
      <w:tr>
        <w:trPr>
          <w:cantSplit/>
        </w:trPr>
        <w:tc>
          <w:tcPr>
            <w:tcW w:type="dxa" w:w="2376"/>
            <w:vAlign w:val="center"/>
            <w:shd w:fill="F4F6F8"/>
          </w:tcPr>
          <w:p>
            <w:pPr>
              <w:spacing w:after="0"/>
            </w:pPr>
            <w:r/>
            <w:r>
              <w:rPr>
                <w:rFonts w:ascii="Carlito" w:hAnsi="Carlito"/>
                <w:b w:val="0"/>
                <w:color w:val="232323"/>
                <w:sz w:val="17"/>
              </w:rPr>
              <w:t>Software/version drift</w:t>
            </w:r>
          </w:p>
        </w:tc>
        <w:tc>
          <w:tcPr>
            <w:tcW w:type="dxa" w:w="3456"/>
            <w:vAlign w:val="center"/>
            <w:shd w:fill="F4F6F8"/>
          </w:tcPr>
          <w:p>
            <w:pPr>
              <w:spacing w:after="0"/>
            </w:pPr>
            <w:r/>
            <w:r>
              <w:rPr>
                <w:rFonts w:ascii="Carlito" w:hAnsi="Carlito"/>
                <w:b w:val="0"/>
                <w:color w:val="232323"/>
                <w:sz w:val="17"/>
              </w:rPr>
              <w:t>Non-reproducible results</w:t>
            </w:r>
          </w:p>
        </w:tc>
        <w:tc>
          <w:tcPr>
            <w:tcW w:type="dxa" w:w="4392"/>
            <w:vAlign w:val="center"/>
            <w:shd w:fill="F4F6F8"/>
          </w:tcPr>
          <w:p>
            <w:pPr>
              <w:spacing w:after="0"/>
            </w:pPr>
            <w:r/>
            <w:r>
              <w:rPr>
                <w:rFonts w:ascii="Carlito" w:hAnsi="Carlito"/>
                <w:b w:val="0"/>
                <w:color w:val="232323"/>
                <w:sz w:val="17"/>
              </w:rPr>
              <w:t>Pin environment and record package versions</w:t>
            </w:r>
          </w:p>
        </w:tc>
      </w:tr>
    </w:tbl>
    <w:p>
      <w:pPr>
        <w:spacing w:after="0"/>
      </w:pPr>
    </w:p>
    <w:p>
      <w:pPr>
        <w:pStyle w:val="Heading1"/>
        <w:keepNext/>
      </w:pPr>
      <w:r>
        <w:t>23. Reproducibility, Ethics, and Claims</w:t>
      </w:r>
    </w:p>
    <w:p>
      <w:pPr>
        <w:pStyle w:val="Heading2"/>
        <w:keepNext/>
      </w:pPr>
      <w:r>
        <w:t>23.1 Data ethics</w:t>
      </w:r>
    </w:p>
    <w:p>
      <w:pPr>
        <w:spacing w:after="110"/>
      </w:pPr>
      <w:r>
        <w:rPr>
          <w:rFonts w:ascii="Carlito" w:hAnsi="Carlito"/>
          <w:i w:val="0"/>
          <w:sz w:val="20"/>
        </w:rPr>
        <w:t>The analysis uses a public, de-identified, CC0 research dataset. Preserve the dataset citation and original ethical provenance. Do not attempt re-identification. Keep downloaded data outside the Git repository.</w:t>
      </w:r>
    </w:p>
    <w:p>
      <w:pPr>
        <w:pStyle w:val="Heading2"/>
        <w:keepNext/>
      </w:pPr>
      <w:r>
        <w:t>23.2 Reproducibility record</w:t>
      </w:r>
    </w:p>
    <w:p>
      <w:pPr>
        <w:pStyle w:val="ListBullet"/>
        <w:spacing w:after="40"/>
      </w:pPr>
      <w:r>
        <w:rPr>
          <w:rFonts w:ascii="Carlito" w:hAnsi="Carlito"/>
          <w:sz w:val="20"/>
        </w:rPr>
        <w:t>Dataset DOI and snapshot version.</w:t>
      </w:r>
    </w:p>
    <w:p>
      <w:pPr>
        <w:pStyle w:val="ListBullet"/>
        <w:spacing w:after="40"/>
      </w:pPr>
      <w:r>
        <w:rPr>
          <w:rFonts w:ascii="Carlito" w:hAnsi="Carlito"/>
          <w:sz w:val="20"/>
        </w:rPr>
        <w:t>Git commit hash for each final result.</w:t>
      </w:r>
    </w:p>
    <w:p>
      <w:pPr>
        <w:pStyle w:val="ListBullet"/>
        <w:spacing w:after="40"/>
      </w:pPr>
      <w:r>
        <w:rPr>
          <w:rFonts w:ascii="Carlito" w:hAnsi="Carlito"/>
          <w:sz w:val="20"/>
        </w:rPr>
        <w:t>environment.yml / requirements lock file.</w:t>
      </w:r>
    </w:p>
    <w:p>
      <w:pPr>
        <w:pStyle w:val="ListBullet"/>
        <w:spacing w:after="40"/>
      </w:pPr>
      <w:r>
        <w:rPr>
          <w:rFonts w:ascii="Carlito" w:hAnsi="Carlito"/>
          <w:sz w:val="20"/>
        </w:rPr>
        <w:t>config.yaml archived with results.</w:t>
      </w:r>
    </w:p>
    <w:p>
      <w:pPr>
        <w:pStyle w:val="ListBullet"/>
        <w:spacing w:after="40"/>
      </w:pPr>
      <w:r>
        <w:rPr>
          <w:rFonts w:ascii="Carlito" w:hAnsi="Carlito"/>
          <w:sz w:val="20"/>
        </w:rPr>
        <w:t>Random seeds.</w:t>
      </w:r>
    </w:p>
    <w:p>
      <w:pPr>
        <w:pStyle w:val="ListBullet"/>
        <w:spacing w:after="40"/>
      </w:pPr>
      <w:r>
        <w:rPr>
          <w:rFonts w:ascii="Carlito" w:hAnsi="Carlito"/>
          <w:sz w:val="20"/>
        </w:rPr>
        <w:t>Outer/inner fold subject IDs saved as machine-readable files.</w:t>
      </w:r>
    </w:p>
    <w:p>
      <w:pPr>
        <w:pStyle w:val="ListBullet"/>
        <w:spacing w:after="40"/>
      </w:pPr>
      <w:r>
        <w:rPr>
          <w:rFonts w:ascii="Carlito" w:hAnsi="Carlito"/>
          <w:sz w:val="20"/>
        </w:rPr>
        <w:t>Feature definitions, frequency boundaries, references, and QC thresholds recorded.</w:t>
      </w:r>
    </w:p>
    <w:p>
      <w:pPr>
        <w:pStyle w:val="Heading2"/>
        <w:keepNext/>
      </w:pPr>
      <w:r>
        <w:t>23.3 Claim language</w:t>
      </w:r>
    </w:p>
    <w:tbl>
      <w:tblPr>
        <w:tblStyle w:val="TableGrid"/>
        <w:tblW w:type="auto" w:w="0"/>
        <w:jc w:val="center"/>
        <w:tblLook w:firstColumn="1" w:firstRow="1" w:lastColumn="0" w:lastRow="0" w:noHBand="0" w:noVBand="1" w:val="04A0"/>
      </w:tblPr>
      <w:tblGrid>
        <w:gridCol w:w="4997"/>
        <w:gridCol w:w="4997"/>
      </w:tblGrid>
      <w:tr>
        <w:trPr>
          <w:cantSplit/>
        </w:trPr>
        <w:tc>
          <w:tcPr>
            <w:tcW w:type="dxa" w:w="4248"/>
            <w:vAlign w:val="center"/>
            <w:shd w:fill="1B3A6B"/>
          </w:tcPr>
          <w:p>
            <w:pPr>
              <w:spacing w:after="0"/>
            </w:pPr>
            <w:r/>
            <w:r>
              <w:rPr>
                <w:rFonts w:ascii="Carlito" w:hAnsi="Carlito"/>
                <w:b/>
                <w:color w:val="FFFFFF"/>
                <w:sz w:val="18"/>
              </w:rPr>
              <w:t>Avoid</w:t>
            </w:r>
          </w:p>
        </w:tc>
        <w:tc>
          <w:tcPr>
            <w:tcW w:type="dxa" w:w="5832"/>
            <w:vAlign w:val="center"/>
            <w:shd w:fill="1B3A6B"/>
          </w:tcPr>
          <w:p>
            <w:pPr>
              <w:spacing w:after="0"/>
            </w:pPr>
            <w:r/>
            <w:r>
              <w:rPr>
                <w:rFonts w:ascii="Carlito" w:hAnsi="Carlito"/>
                <w:b/>
                <w:color w:val="FFFFFF"/>
                <w:sz w:val="18"/>
              </w:rPr>
              <w:t>Prefer</w:t>
            </w:r>
          </w:p>
        </w:tc>
      </w:tr>
      <w:tr>
        <w:trPr>
          <w:cantSplit/>
        </w:trPr>
        <w:tc>
          <w:tcPr>
            <w:tcW w:type="dxa" w:w="4248"/>
            <w:vAlign w:val="center"/>
          </w:tcPr>
          <w:p>
            <w:pPr>
              <w:spacing w:after="0"/>
            </w:pPr>
            <w:r/>
            <w:r>
              <w:rPr>
                <w:rFonts w:ascii="Carlito" w:hAnsi="Carlito"/>
                <w:b w:val="0"/>
                <w:color w:val="232323"/>
                <w:sz w:val="17"/>
              </w:rPr>
              <w:t>"The model diagnoses Alzheimer's disease."</w:t>
            </w:r>
          </w:p>
        </w:tc>
        <w:tc>
          <w:tcPr>
            <w:tcW w:type="dxa" w:w="5832"/>
            <w:vAlign w:val="center"/>
          </w:tcPr>
          <w:p>
            <w:pPr>
              <w:spacing w:after="0"/>
            </w:pPr>
            <w:r/>
            <w:r>
              <w:rPr>
                <w:rFonts w:ascii="Carlito" w:hAnsi="Carlito"/>
                <w:b w:val="0"/>
                <w:color w:val="232323"/>
                <w:sz w:val="17"/>
              </w:rPr>
              <w:t>"The model discriminates AD from CN within this dataset."</w:t>
            </w:r>
          </w:p>
        </w:tc>
      </w:tr>
      <w:tr>
        <w:trPr>
          <w:cantSplit/>
        </w:trPr>
        <w:tc>
          <w:tcPr>
            <w:tcW w:type="dxa" w:w="4248"/>
            <w:vAlign w:val="center"/>
            <w:shd w:fill="F4F6F8"/>
          </w:tcPr>
          <w:p>
            <w:pPr>
              <w:spacing w:after="0"/>
            </w:pPr>
            <w:r/>
            <w:r>
              <w:rPr>
                <w:rFonts w:ascii="Carlito" w:hAnsi="Carlito"/>
                <w:b w:val="0"/>
                <w:color w:val="232323"/>
                <w:sz w:val="17"/>
              </w:rPr>
              <w:t>"EEG measures synaptic dysfunction."</w:t>
            </w:r>
          </w:p>
        </w:tc>
        <w:tc>
          <w:tcPr>
            <w:tcW w:type="dxa" w:w="5832"/>
            <w:vAlign w:val="center"/>
            <w:shd w:fill="F4F6F8"/>
          </w:tcPr>
          <w:p>
            <w:pPr>
              <w:spacing w:after="0"/>
            </w:pPr>
            <w:r/>
            <w:r>
              <w:rPr>
                <w:rFonts w:ascii="Carlito" w:hAnsi="Carlito"/>
                <w:b w:val="0"/>
                <w:color w:val="232323"/>
                <w:sz w:val="17"/>
              </w:rPr>
              <w:t>"EEG features are indirect electrophysiological correlates potentially related to circuit/synaptic dysfunction."</w:t>
            </w:r>
          </w:p>
        </w:tc>
      </w:tr>
      <w:tr>
        <w:trPr>
          <w:cantSplit/>
        </w:trPr>
        <w:tc>
          <w:tcPr>
            <w:tcW w:type="dxa" w:w="4248"/>
            <w:vAlign w:val="center"/>
          </w:tcPr>
          <w:p>
            <w:pPr>
              <w:spacing w:after="0"/>
            </w:pPr>
            <w:r/>
            <w:r>
              <w:rPr>
                <w:rFonts w:ascii="Carlito" w:hAnsi="Carlito"/>
                <w:b w:val="0"/>
                <w:color w:val="232323"/>
                <w:sz w:val="17"/>
              </w:rPr>
              <w:t>"This is an early Alzheimer detector."</w:t>
            </w:r>
          </w:p>
        </w:tc>
        <w:tc>
          <w:tcPr>
            <w:tcW w:type="dxa" w:w="5832"/>
            <w:vAlign w:val="center"/>
          </w:tcPr>
          <w:p>
            <w:pPr>
              <w:spacing w:after="0"/>
            </w:pPr>
            <w:r/>
            <w:r>
              <w:rPr>
                <w:rFonts w:ascii="Carlito" w:hAnsi="Carlito"/>
                <w:b w:val="0"/>
                <w:color w:val="232323"/>
                <w:sz w:val="17"/>
              </w:rPr>
              <w:t>"This cross-sectional model distinguishes already diagnosed groups."</w:t>
            </w:r>
          </w:p>
        </w:tc>
      </w:tr>
      <w:tr>
        <w:trPr>
          <w:cantSplit/>
        </w:trPr>
        <w:tc>
          <w:tcPr>
            <w:tcW w:type="dxa" w:w="4248"/>
            <w:vAlign w:val="center"/>
            <w:shd w:fill="F4F6F8"/>
          </w:tcPr>
          <w:p>
            <w:pPr>
              <w:spacing w:after="0"/>
            </w:pPr>
            <w:r/>
            <w:r>
              <w:rPr>
                <w:rFonts w:ascii="Carlito" w:hAnsi="Carlito"/>
                <w:b w:val="0"/>
                <w:color w:val="232323"/>
                <w:sz w:val="17"/>
              </w:rPr>
              <w:t>"SCC measures brain connectivity."</w:t>
            </w:r>
          </w:p>
        </w:tc>
        <w:tc>
          <w:tcPr>
            <w:tcW w:type="dxa" w:w="5832"/>
            <w:vAlign w:val="center"/>
            <w:shd w:fill="F4F6F8"/>
          </w:tcPr>
          <w:p>
            <w:pPr>
              <w:spacing w:after="0"/>
            </w:pPr>
            <w:r/>
            <w:r>
              <w:rPr>
                <w:rFonts w:ascii="Carlito" w:hAnsi="Carlito"/>
                <w:b w:val="0"/>
                <w:color w:val="232323"/>
                <w:sz w:val="17"/>
              </w:rPr>
              <w:t>"SCC is a sensor-level coherence measure that can reflect both neural coupling and common-source/volume-conduction effects."</w:t>
            </w:r>
          </w:p>
        </w:tc>
      </w:tr>
      <w:tr>
        <w:trPr>
          <w:cantSplit/>
        </w:trPr>
        <w:tc>
          <w:tcPr>
            <w:tcW w:type="dxa" w:w="4248"/>
            <w:vAlign w:val="center"/>
          </w:tcPr>
          <w:p>
            <w:pPr>
              <w:spacing w:after="0"/>
            </w:pPr>
            <w:r/>
            <w:r>
              <w:rPr>
                <w:rFonts w:ascii="Carlito" w:hAnsi="Carlito"/>
                <w:b w:val="0"/>
                <w:color w:val="232323"/>
                <w:sz w:val="17"/>
              </w:rPr>
              <w:t>"Feature X is an Alzheimer biomarker."</w:t>
            </w:r>
          </w:p>
        </w:tc>
        <w:tc>
          <w:tcPr>
            <w:tcW w:type="dxa" w:w="5832"/>
            <w:vAlign w:val="center"/>
          </w:tcPr>
          <w:p>
            <w:pPr>
              <w:spacing w:after="0"/>
            </w:pPr>
            <w:r/>
            <w:r>
              <w:rPr>
                <w:rFonts w:ascii="Carlito" w:hAnsi="Carlito"/>
                <w:b w:val="0"/>
                <w:color w:val="232323"/>
                <w:sz w:val="17"/>
              </w:rPr>
              <w:t>"Feature X is an AD-associated candidate biomarker unless specificity and external validation are demonstrated."</w:t>
            </w:r>
          </w:p>
        </w:tc>
      </w:tr>
    </w:tbl>
    <w:p>
      <w:pPr>
        <w:spacing w:after="0"/>
      </w:pPr>
    </w:p>
    <w:p>
      <w:pPr>
        <w:pStyle w:val="Heading1"/>
        <w:keepNext/>
      </w:pPr>
      <w:r>
        <w:t>24. Definition of Done</w:t>
      </w:r>
    </w:p>
    <w:p>
      <w:pPr>
        <w:pStyle w:val="Heading2"/>
        <w:keepNext/>
      </w:pPr>
      <w:r>
        <w:t>24.1 Scientific completion</w:t>
      </w:r>
    </w:p>
    <w:p>
      <w:pPr>
        <w:pStyle w:val="ListBullet"/>
        <w:spacing w:after="40"/>
      </w:pPr>
      <w:r>
        <w:rPr>
          <w:rFonts w:ascii="Carlito" w:hAnsi="Carlito"/>
          <w:sz w:val="20"/>
        </w:rPr>
        <w:t>DICE-style RBP and SCC are replicated with documented parameters.</w:t>
      </w:r>
    </w:p>
    <w:p>
      <w:pPr>
        <w:pStyle w:val="ListBullet"/>
        <w:spacing w:after="40"/>
      </w:pPr>
      <w:r>
        <w:rPr>
          <w:rFonts w:ascii="Carlito" w:hAnsi="Carlito"/>
          <w:sz w:val="20"/>
        </w:rPr>
        <w:t>Fixed vs individualized frequency analysis is complete.</w:t>
      </w:r>
    </w:p>
    <w:p>
      <w:pPr>
        <w:pStyle w:val="ListBullet"/>
        <w:spacing w:after="40"/>
      </w:pPr>
      <w:r>
        <w:rPr>
          <w:rFonts w:ascii="Carlito" w:hAnsi="Carlito"/>
          <w:sz w:val="20"/>
        </w:rPr>
        <w:t>Relative vs absolute vs aperiodic-adjusted spectral analysis is complete.</w:t>
      </w:r>
    </w:p>
    <w:p>
      <w:pPr>
        <w:pStyle w:val="ListBullet"/>
        <w:spacing w:after="40"/>
      </w:pPr>
      <w:r>
        <w:rPr>
          <w:rFonts w:ascii="Carlito" w:hAnsi="Carlito"/>
          <w:sz w:val="20"/>
        </w:rPr>
        <w:t>SCC is compared with wPLI and imaginary coherence.</w:t>
      </w:r>
    </w:p>
    <w:p>
      <w:pPr>
        <w:pStyle w:val="ListBullet"/>
        <w:spacing w:after="40"/>
      </w:pPr>
      <w:r>
        <w:rPr>
          <w:rFonts w:ascii="Carlito" w:hAnsi="Carlito"/>
          <w:sz w:val="20"/>
        </w:rPr>
        <w:t>AD-CN, FTD-CN, and AD-FTD are all evaluated.</w:t>
      </w:r>
    </w:p>
    <w:p>
      <w:pPr>
        <w:pStyle w:val="ListBullet"/>
        <w:spacing w:after="40"/>
      </w:pPr>
      <w:r>
        <w:rPr>
          <w:rFonts w:ascii="Carlito" w:hAnsi="Carlito"/>
          <w:sz w:val="20"/>
        </w:rPr>
        <w:t>MMSE relationships are evaluated primarily within patients.</w:t>
      </w:r>
    </w:p>
    <w:p>
      <w:pPr>
        <w:pStyle w:val="ListBullet"/>
        <w:spacing w:after="40"/>
      </w:pPr>
      <w:r>
        <w:rPr>
          <w:rFonts w:ascii="Carlito" w:hAnsi="Carlito"/>
          <w:sz w:val="20"/>
        </w:rPr>
        <w:t>Final biomarker evidence tiers are assigned with uncertainty.</w:t>
      </w:r>
    </w:p>
    <w:p>
      <w:pPr>
        <w:pStyle w:val="Heading2"/>
        <w:keepNext/>
      </w:pPr>
      <w:r>
        <w:t>24.2 ML completion</w:t>
      </w:r>
    </w:p>
    <w:p>
      <w:pPr>
        <w:pStyle w:val="ListBullet"/>
        <w:spacing w:after="40"/>
      </w:pPr>
      <w:r>
        <w:rPr>
          <w:rFonts w:ascii="Carlito" w:hAnsi="Carlito"/>
          <w:sz w:val="20"/>
        </w:rPr>
        <w:t>All headline metrics are subject-level.</w:t>
      </w:r>
    </w:p>
    <w:p>
      <w:pPr>
        <w:pStyle w:val="ListBullet"/>
        <w:spacing w:after="40"/>
      </w:pPr>
      <w:r>
        <w:rPr>
          <w:rFonts w:ascii="Carlito" w:hAnsi="Carlito"/>
          <w:sz w:val="20"/>
        </w:rPr>
        <w:t>Nested subject-wise validation is used for the final model comparison.</w:t>
      </w:r>
    </w:p>
    <w:p>
      <w:pPr>
        <w:pStyle w:val="ListBullet"/>
        <w:spacing w:after="40"/>
      </w:pPr>
      <w:r>
        <w:rPr>
          <w:rFonts w:ascii="Carlito" w:hAnsi="Carlito"/>
          <w:sz w:val="20"/>
        </w:rPr>
        <w:t>No preprocessing, feature selection, or channel selection uses outer-test data.</w:t>
      </w:r>
    </w:p>
    <w:p>
      <w:pPr>
        <w:pStyle w:val="ListBullet"/>
        <w:spacing w:after="40"/>
      </w:pPr>
      <w:r>
        <w:rPr>
          <w:rFonts w:ascii="Carlito" w:hAnsi="Carlito"/>
          <w:sz w:val="20"/>
        </w:rPr>
        <w:t>Feature-family comparisons use matched folds.</w:t>
      </w:r>
    </w:p>
    <w:p>
      <w:pPr>
        <w:pStyle w:val="ListBullet"/>
        <w:spacing w:after="40"/>
      </w:pPr>
      <w:r>
        <w:rPr>
          <w:rFonts w:ascii="Carlito" w:hAnsi="Carlito"/>
          <w:sz w:val="20"/>
        </w:rPr>
        <w:t>Model uncertainty and selection stability are reported.</w:t>
      </w:r>
    </w:p>
    <w:p>
      <w:pPr>
        <w:pStyle w:val="Heading2"/>
        <w:keepNext/>
      </w:pPr>
      <w:r>
        <w:t>24.3 Engineering completion</w:t>
      </w:r>
    </w:p>
    <w:p>
      <w:pPr>
        <w:pStyle w:val="ListBullet"/>
        <w:spacing w:after="40"/>
      </w:pPr>
      <w:r>
        <w:rPr>
          <w:rFonts w:ascii="Carlito" w:hAnsi="Carlito"/>
          <w:sz w:val="20"/>
        </w:rPr>
        <w:t>Electrode-selection algorithm runs inside training folds.</w:t>
      </w:r>
    </w:p>
    <w:p>
      <w:pPr>
        <w:pStyle w:val="ListBullet"/>
        <w:spacing w:after="40"/>
      </w:pPr>
      <w:r>
        <w:rPr>
          <w:rFonts w:ascii="Carlito" w:hAnsi="Carlito"/>
          <w:sz w:val="20"/>
        </w:rPr>
        <w:t>At least one literature-informed and one data-driven sparse montage are compared.</w:t>
      </w:r>
    </w:p>
    <w:p>
      <w:pPr>
        <w:pStyle w:val="ListBullet"/>
        <w:spacing w:after="40"/>
      </w:pPr>
      <w:r>
        <w:rPr>
          <w:rFonts w:ascii="Carlito" w:hAnsi="Carlito"/>
          <w:sz w:val="20"/>
        </w:rPr>
        <w:t>Performance-vs-channel-count curve includes uncertainty.</w:t>
      </w:r>
    </w:p>
    <w:p>
      <w:pPr>
        <w:pStyle w:val="ListBullet"/>
        <w:spacing w:after="40"/>
      </w:pPr>
      <w:r>
        <w:rPr>
          <w:rFonts w:ascii="Carlito" w:hAnsi="Carlito"/>
          <w:sz w:val="20"/>
        </w:rPr>
        <w:t>Biomarker-preservation-vs-channel-count curve includes uncertainty.</w:t>
      </w:r>
    </w:p>
    <w:p>
      <w:pPr>
        <w:pStyle w:val="ListBullet"/>
        <w:spacing w:after="40"/>
      </w:pPr>
      <w:r>
        <w:rPr>
          <w:rFonts w:ascii="Carlito" w:hAnsi="Carlito"/>
          <w:sz w:val="20"/>
        </w:rPr>
        <w:t>The final montage is chosen using a pre-specified criterion and practical considerations.</w:t>
      </w:r>
    </w:p>
    <w:p>
      <w:pPr>
        <w:pStyle w:val="Heading2"/>
        <w:keepNext/>
      </w:pPr>
      <w:r>
        <w:t>24.4 Documentation completion</w:t>
      </w:r>
    </w:p>
    <w:p>
      <w:pPr>
        <w:pStyle w:val="ListBullet"/>
        <w:spacing w:after="40"/>
      </w:pPr>
      <w:r>
        <w:rPr>
          <w:rFonts w:ascii="Carlito" w:hAnsi="Carlito"/>
          <w:sz w:val="20"/>
        </w:rPr>
        <w:t>README enables another researcher to obtain the data and rerun the pipeline.</w:t>
      </w:r>
    </w:p>
    <w:p>
      <w:pPr>
        <w:pStyle w:val="ListBullet"/>
        <w:spacing w:after="40"/>
      </w:pPr>
      <w:r>
        <w:rPr>
          <w:rFonts w:ascii="Carlito" w:hAnsi="Carlito"/>
          <w:sz w:val="20"/>
        </w:rPr>
        <w:t>Every final figure can be generated from code, not manually edited values.</w:t>
      </w:r>
    </w:p>
    <w:p>
      <w:pPr>
        <w:pStyle w:val="ListBullet"/>
        <w:spacing w:after="40"/>
      </w:pPr>
      <w:r>
        <w:rPr>
          <w:rFonts w:ascii="Carlito" w:hAnsi="Carlito"/>
          <w:sz w:val="20"/>
        </w:rPr>
        <w:t>The methods section can be reconstructed from config files and decision log.</w:t>
      </w:r>
    </w:p>
    <w:p>
      <w:pPr>
        <w:pStyle w:val="ListBullet"/>
        <w:spacing w:after="40"/>
      </w:pPr>
      <w:r>
        <w:rPr>
          <w:rFonts w:ascii="Carlito" w:hAnsi="Carlito"/>
          <w:sz w:val="20"/>
        </w:rPr>
        <w:t>Limitations and non-causal interpretations are stated clearly.</w:t>
      </w:r>
    </w:p>
    <w:p>
      <w:r>
        <w:br w:type="page"/>
      </w:r>
    </w:p>
    <w:p>
      <w:pPr>
        <w:pStyle w:val="Heading1"/>
        <w:keepNext/>
      </w:pPr>
      <w:r>
        <w:t>Appendix A. Configuration Template</w:t>
      </w:r>
    </w:p>
    <w:p>
      <w:pPr>
        <w:pStyle w:val="CodeBlock"/>
        <w:shd w:fill="F3F4F6"/>
      </w:pPr>
      <w:r>
        <w:rPr>
          <w:rFonts w:ascii="DejaVu Sans Mono" w:hAnsi="DejaVu Sans Mono"/>
          <w:sz w:val="17"/>
        </w:rPr>
        <w:t>project:</w:t>
      </w:r>
      <w:r>
        <w:br/>
      </w:r>
      <w:r>
        <w:rPr>
          <w:rFonts w:ascii="DejaVu Sans Mono" w:hAnsi="DejaVu Sans Mono"/>
          <w:sz w:val="17"/>
        </w:rPr>
        <w:t xml:space="preserve">  seed: 42</w:t>
      </w:r>
      <w:r>
        <w:br/>
      </w:r>
      <w:r>
        <w:rPr>
          <w:rFonts w:ascii="DejaVu Sans Mono" w:hAnsi="DejaVu Sans Mono"/>
          <w:sz w:val="17"/>
        </w:rPr>
        <w:t xml:space="preserve">  results_dir: results</w:t>
      </w:r>
      <w:r>
        <w:br/>
      </w:r>
      <w:r>
        <w:rPr>
          <w:rFonts w:ascii="DejaVu Sans Mono" w:hAnsi="DejaVu Sans Mono"/>
          <w:sz w:val="17"/>
        </w:rPr>
      </w:r>
      <w:r>
        <w:br/>
      </w:r>
      <w:r>
        <w:rPr>
          <w:rFonts w:ascii="DejaVu Sans Mono" w:hAnsi="DejaVu Sans Mono"/>
          <w:sz w:val="17"/>
        </w:rPr>
        <w:t>dataset:</w:t>
      </w:r>
      <w:r>
        <w:br/>
      </w:r>
      <w:r>
        <w:rPr>
          <w:rFonts w:ascii="DejaVu Sans Mono" w:hAnsi="DejaVu Sans Mono"/>
          <w:sz w:val="17"/>
        </w:rPr>
        <w:t xml:space="preserve">  id: ds004504</w:t>
      </w:r>
      <w:r>
        <w:br/>
      </w:r>
      <w:r>
        <w:rPr>
          <w:rFonts w:ascii="DejaVu Sans Mono" w:hAnsi="DejaVu Sans Mono"/>
          <w:sz w:val="17"/>
        </w:rPr>
        <w:t xml:space="preserve">  version: 1.0.9</w:t>
      </w:r>
      <w:r>
        <w:br/>
      </w:r>
      <w:r>
        <w:rPr>
          <w:rFonts w:ascii="DejaVu Sans Mono" w:hAnsi="DejaVu Sans Mono"/>
          <w:sz w:val="17"/>
        </w:rPr>
        <w:t xml:space="preserve">  root: /path/to/ds004504</w:t>
      </w:r>
      <w:r>
        <w:br/>
      </w:r>
      <w:r>
        <w:rPr>
          <w:rFonts w:ascii="DejaVu Sans Mono" w:hAnsi="DejaVu Sans Mono"/>
          <w:sz w:val="17"/>
        </w:rPr>
        <w:t xml:space="preserve">  use_derivatives: true</w:t>
      </w:r>
      <w:r>
        <w:br/>
      </w:r>
      <w:r>
        <w:rPr>
          <w:rFonts w:ascii="DejaVu Sans Mono" w:hAnsi="DejaVu Sans Mono"/>
          <w:sz w:val="17"/>
        </w:rPr>
      </w:r>
      <w:r>
        <w:br/>
      </w:r>
      <w:r>
        <w:rPr>
          <w:rFonts w:ascii="DejaVu Sans Mono" w:hAnsi="DejaVu Sans Mono"/>
          <w:sz w:val="17"/>
        </w:rPr>
        <w:t>channels:</w:t>
      </w:r>
      <w:r>
        <w:br/>
      </w:r>
      <w:r>
        <w:rPr>
          <w:rFonts w:ascii="DejaVu Sans Mono" w:hAnsi="DejaVu Sans Mono"/>
          <w:sz w:val="17"/>
        </w:rPr>
        <w:t xml:space="preserve">  expected: [Fp1, Fp2, F7, F3, Fz, F4, F8, T3, C3, Cz, C4, T4,</w:t>
      </w:r>
      <w:r>
        <w:br/>
      </w:r>
      <w:r>
        <w:rPr>
          <w:rFonts w:ascii="DejaVu Sans Mono" w:hAnsi="DejaVu Sans Mono"/>
          <w:sz w:val="17"/>
        </w:rPr>
        <w:t xml:space="preserve">             T5, P3, Pz, P4, T6, O1, O2]</w:t>
      </w:r>
      <w:r>
        <w:br/>
      </w:r>
      <w:r>
        <w:rPr>
          <w:rFonts w:ascii="DejaVu Sans Mono" w:hAnsi="DejaVu Sans Mono"/>
          <w:sz w:val="17"/>
        </w:rPr>
      </w:r>
      <w:r>
        <w:br/>
      </w:r>
      <w:r>
        <w:rPr>
          <w:rFonts w:ascii="DejaVu Sans Mono" w:hAnsi="DejaVu Sans Mono"/>
          <w:sz w:val="17"/>
        </w:rPr>
        <w:t>epoching:</w:t>
      </w:r>
      <w:r>
        <w:br/>
      </w:r>
      <w:r>
        <w:rPr>
          <w:rFonts w:ascii="DejaVu Sans Mono" w:hAnsi="DejaVu Sans Mono"/>
          <w:sz w:val="17"/>
        </w:rPr>
        <w:t xml:space="preserve">  length_sec: 30</w:t>
      </w:r>
      <w:r>
        <w:br/>
      </w:r>
      <w:r>
        <w:rPr>
          <w:rFonts w:ascii="DejaVu Sans Mono" w:hAnsi="DejaVu Sans Mono"/>
          <w:sz w:val="17"/>
        </w:rPr>
        <w:t xml:space="preserve">  overlap_sec: 15</w:t>
      </w:r>
      <w:r>
        <w:br/>
      </w:r>
      <w:r>
        <w:rPr>
          <w:rFonts w:ascii="DejaVu Sans Mono" w:hAnsi="DejaVu Sans Mono"/>
          <w:sz w:val="17"/>
        </w:rPr>
        <w:t xml:space="preserve">  subwindow_sec: 1</w:t>
      </w:r>
      <w:r>
        <w:br/>
      </w:r>
      <w:r>
        <w:rPr>
          <w:rFonts w:ascii="DejaVu Sans Mono" w:hAnsi="DejaVu Sans Mono"/>
          <w:sz w:val="17"/>
        </w:rPr>
      </w:r>
      <w:r>
        <w:br/>
      </w:r>
      <w:r>
        <w:rPr>
          <w:rFonts w:ascii="DejaVu Sans Mono" w:hAnsi="DejaVu Sans Mono"/>
          <w:sz w:val="17"/>
        </w:rPr>
        <w:t>bands:</w:t>
      </w:r>
      <w:r>
        <w:br/>
      </w:r>
      <w:r>
        <w:rPr>
          <w:rFonts w:ascii="DejaVu Sans Mono" w:hAnsi="DejaVu Sans Mono"/>
          <w:sz w:val="17"/>
        </w:rPr>
        <w:t xml:space="preserve">  delta: [0.5, 4]</w:t>
      </w:r>
      <w:r>
        <w:br/>
      </w:r>
      <w:r>
        <w:rPr>
          <w:rFonts w:ascii="DejaVu Sans Mono" w:hAnsi="DejaVu Sans Mono"/>
          <w:sz w:val="17"/>
        </w:rPr>
        <w:t xml:space="preserve">  theta: [4, 8]</w:t>
      </w:r>
      <w:r>
        <w:br/>
      </w:r>
      <w:r>
        <w:rPr>
          <w:rFonts w:ascii="DejaVu Sans Mono" w:hAnsi="DejaVu Sans Mono"/>
          <w:sz w:val="17"/>
        </w:rPr>
        <w:t xml:space="preserve">  alpha: [8, 13]</w:t>
      </w:r>
      <w:r>
        <w:br/>
      </w:r>
      <w:r>
        <w:rPr>
          <w:rFonts w:ascii="DejaVu Sans Mono" w:hAnsi="DejaVu Sans Mono"/>
          <w:sz w:val="17"/>
        </w:rPr>
        <w:t xml:space="preserve">  beta:  [13, 25]</w:t>
      </w:r>
      <w:r>
        <w:br/>
      </w:r>
      <w:r>
        <w:rPr>
          <w:rFonts w:ascii="DejaVu Sans Mono" w:hAnsi="DejaVu Sans Mono"/>
          <w:sz w:val="17"/>
        </w:rPr>
        <w:t xml:space="preserve">  gamma: [25, 45]</w:t>
      </w:r>
      <w:r>
        <w:br/>
      </w:r>
      <w:r>
        <w:rPr>
          <w:rFonts w:ascii="DejaVu Sans Mono" w:hAnsi="DejaVu Sans Mono"/>
          <w:sz w:val="17"/>
        </w:rPr>
      </w:r>
      <w:r>
        <w:br/>
      </w:r>
      <w:r>
        <w:rPr>
          <w:rFonts w:ascii="DejaVu Sans Mono" w:hAnsi="DejaVu Sans Mono"/>
          <w:sz w:val="17"/>
        </w:rPr>
        <w:t>features:</w:t>
      </w:r>
      <w:r>
        <w:br/>
      </w:r>
      <w:r>
        <w:rPr>
          <w:rFonts w:ascii="DejaVu Sans Mono" w:hAnsi="DejaVu Sans Mono"/>
          <w:sz w:val="17"/>
        </w:rPr>
        <w:t xml:space="preserve">  rbp: true</w:t>
      </w:r>
      <w:r>
        <w:br/>
      </w:r>
      <w:r>
        <w:rPr>
          <w:rFonts w:ascii="DejaVu Sans Mono" w:hAnsi="DejaVu Sans Mono"/>
          <w:sz w:val="17"/>
        </w:rPr>
        <w:t xml:space="preserve">  absolute_power: true</w:t>
      </w:r>
      <w:r>
        <w:br/>
      </w:r>
      <w:r>
        <w:rPr>
          <w:rFonts w:ascii="DejaVu Sans Mono" w:hAnsi="DejaVu Sans Mono"/>
          <w:sz w:val="17"/>
        </w:rPr>
        <w:t xml:space="preserve">  iaf: true</w:t>
      </w:r>
      <w:r>
        <w:br/>
      </w:r>
      <w:r>
        <w:rPr>
          <w:rFonts w:ascii="DejaVu Sans Mono" w:hAnsi="DejaVu Sans Mono"/>
          <w:sz w:val="17"/>
        </w:rPr>
        <w:t xml:space="preserve">  specparam: true</w:t>
      </w:r>
      <w:r>
        <w:br/>
      </w:r>
      <w:r>
        <w:rPr>
          <w:rFonts w:ascii="DejaVu Sans Mono" w:hAnsi="DejaVu Sans Mono"/>
          <w:sz w:val="17"/>
        </w:rPr>
        <w:t xml:space="preserve">  scc: true</w:t>
      </w:r>
      <w:r>
        <w:br/>
      </w:r>
      <w:r>
        <w:rPr>
          <w:rFonts w:ascii="DejaVu Sans Mono" w:hAnsi="DejaVu Sans Mono"/>
          <w:sz w:val="17"/>
        </w:rPr>
        <w:t xml:space="preserve">  wpli: true</w:t>
      </w:r>
      <w:r>
        <w:br/>
      </w:r>
      <w:r>
        <w:rPr>
          <w:rFonts w:ascii="DejaVu Sans Mono" w:hAnsi="DejaVu Sans Mono"/>
          <w:sz w:val="17"/>
        </w:rPr>
        <w:t xml:space="preserve">  imaginary_coherence: true</w:t>
      </w:r>
      <w:r>
        <w:br/>
      </w:r>
      <w:r>
        <w:rPr>
          <w:rFonts w:ascii="DejaVu Sans Mono" w:hAnsi="DejaVu Sans Mono"/>
          <w:sz w:val="17"/>
        </w:rPr>
      </w:r>
      <w:r>
        <w:br/>
      </w:r>
      <w:r>
        <w:rPr>
          <w:rFonts w:ascii="DejaVu Sans Mono" w:hAnsi="DejaVu Sans Mono"/>
          <w:sz w:val="17"/>
        </w:rPr>
        <w:t>iaf:</w:t>
      </w:r>
      <w:r>
        <w:br/>
      </w:r>
      <w:r>
        <w:rPr>
          <w:rFonts w:ascii="DejaVu Sans Mono" w:hAnsi="DejaVu Sans Mono"/>
          <w:sz w:val="17"/>
        </w:rPr>
        <w:t xml:space="preserve">  search_range_hz: [6, 14]</w:t>
      </w:r>
      <w:r>
        <w:br/>
      </w:r>
      <w:r>
        <w:rPr>
          <w:rFonts w:ascii="DejaVu Sans Mono" w:hAnsi="DejaVu Sans Mono"/>
          <w:sz w:val="17"/>
        </w:rPr>
        <w:t xml:space="preserve">  region: posterior</w:t>
      </w:r>
      <w:r>
        <w:br/>
      </w:r>
      <w:r>
        <w:rPr>
          <w:rFonts w:ascii="DejaVu Sans Mono" w:hAnsi="DejaVu Sans Mono"/>
          <w:sz w:val="17"/>
        </w:rPr>
        <w:t xml:space="preserve">  channels: [P3, Pz, P4, O1, O2]</w:t>
      </w:r>
      <w:r>
        <w:br/>
      </w:r>
      <w:r>
        <w:rPr>
          <w:rFonts w:ascii="DejaVu Sans Mono" w:hAnsi="DejaVu Sans Mono"/>
          <w:sz w:val="17"/>
        </w:rPr>
      </w:r>
      <w:r>
        <w:br/>
      </w:r>
      <w:r>
        <w:rPr>
          <w:rFonts w:ascii="DejaVu Sans Mono" w:hAnsi="DejaVu Sans Mono"/>
          <w:sz w:val="17"/>
        </w:rPr>
        <w:t>validation:</w:t>
      </w:r>
      <w:r>
        <w:br/>
      </w:r>
      <w:r>
        <w:rPr>
          <w:rFonts w:ascii="DejaVu Sans Mono" w:hAnsi="DejaVu Sans Mono"/>
          <w:sz w:val="17"/>
        </w:rPr>
        <w:t xml:space="preserve">  replication: LOSO</w:t>
      </w:r>
      <w:r>
        <w:br/>
      </w:r>
      <w:r>
        <w:rPr>
          <w:rFonts w:ascii="DejaVu Sans Mono" w:hAnsi="DejaVu Sans Mono"/>
          <w:sz w:val="17"/>
        </w:rPr>
        <w:t xml:space="preserve">  final_outer_folds: 5</w:t>
      </w:r>
      <w:r>
        <w:br/>
      </w:r>
      <w:r>
        <w:rPr>
          <w:rFonts w:ascii="DejaVu Sans Mono" w:hAnsi="DejaVu Sans Mono"/>
          <w:sz w:val="17"/>
        </w:rPr>
        <w:t xml:space="preserve">  final_inner_folds: 4</w:t>
      </w:r>
      <w:r>
        <w:br/>
      </w:r>
      <w:r>
        <w:rPr>
          <w:rFonts w:ascii="DejaVu Sans Mono" w:hAnsi="DejaVu Sans Mono"/>
          <w:sz w:val="17"/>
        </w:rPr>
        <w:t xml:space="preserve">  group_key: subject_id</w:t>
      </w:r>
      <w:r>
        <w:br/>
      </w:r>
      <w:r>
        <w:rPr>
          <w:rFonts w:ascii="DejaVu Sans Mono" w:hAnsi="DejaVu Sans Mono"/>
          <w:sz w:val="17"/>
        </w:rPr>
        <w:t xml:space="preserve">  primary_metric: balanced_accuracy</w:t>
      </w:r>
      <w:r>
        <w:br/>
      </w:r>
      <w:r>
        <w:rPr>
          <w:rFonts w:ascii="DejaVu Sans Mono" w:hAnsi="DejaVu Sans Mono"/>
          <w:sz w:val="17"/>
        </w:rPr>
      </w:r>
      <w:r>
        <w:br/>
      </w:r>
      <w:r>
        <w:rPr>
          <w:rFonts w:ascii="DejaVu Sans Mono" w:hAnsi="DejaVu Sans Mono"/>
          <w:sz w:val="17"/>
        </w:rPr>
        <w:t>models:</w:t>
      </w:r>
      <w:r>
        <w:br/>
      </w:r>
      <w:r>
        <w:rPr>
          <w:rFonts w:ascii="DejaVu Sans Mono" w:hAnsi="DejaVu Sans Mono"/>
          <w:sz w:val="17"/>
        </w:rPr>
        <w:t xml:space="preserve">  logistic_regression: true</w:t>
      </w:r>
      <w:r>
        <w:br/>
      </w:r>
      <w:r>
        <w:rPr>
          <w:rFonts w:ascii="DejaVu Sans Mono" w:hAnsi="DejaVu Sans Mono"/>
          <w:sz w:val="17"/>
        </w:rPr>
        <w:t xml:space="preserve">  linear_svm: true</w:t>
      </w:r>
      <w:r>
        <w:br/>
      </w:r>
      <w:r>
        <w:rPr>
          <w:rFonts w:ascii="DejaVu Sans Mono" w:hAnsi="DejaVu Sans Mono"/>
          <w:sz w:val="17"/>
        </w:rPr>
        <w:t xml:space="preserve">  xgboost: true</w:t>
      </w:r>
      <w:r>
        <w:br/>
      </w:r>
      <w:r>
        <w:rPr>
          <w:rFonts w:ascii="DejaVu Sans Mono" w:hAnsi="DejaVu Sans Mono"/>
          <w:sz w:val="17"/>
        </w:rPr>
      </w:r>
      <w:r>
        <w:br/>
      </w:r>
      <w:r>
        <w:rPr>
          <w:rFonts w:ascii="DejaVu Sans Mono" w:hAnsi="DejaVu Sans Mono"/>
          <w:sz w:val="17"/>
        </w:rPr>
        <w:t>channel_selection:</w:t>
      </w:r>
      <w:r>
        <w:br/>
      </w:r>
      <w:r>
        <w:rPr>
          <w:rFonts w:ascii="DejaVu Sans Mono" w:hAnsi="DejaVu Sans Mono"/>
          <w:sz w:val="17"/>
        </w:rPr>
        <w:t xml:space="preserve">  method: sequential_forward</w:t>
      </w:r>
      <w:r>
        <w:br/>
      </w:r>
      <w:r>
        <w:rPr>
          <w:rFonts w:ascii="DejaVu Sans Mono" w:hAnsi="DejaVu Sans Mono"/>
          <w:sz w:val="17"/>
        </w:rPr>
        <w:t xml:space="preserve">  candidate_counts: [19, 12, 8, 6, 4, 3, 2]</w:t>
      </w:r>
      <w:r>
        <w:br/>
      </w:r>
      <w:r>
        <w:rPr>
          <w:rFonts w:ascii="DejaVu Sans Mono" w:hAnsi="DejaVu Sans Mono"/>
          <w:sz w:val="17"/>
        </w:rPr>
        <w:t xml:space="preserve">  selection_inside_cv: true</w:t>
      </w:r>
    </w:p>
    <w:p>
      <w:pPr>
        <w:spacing w:after="110"/>
      </w:pPr>
      <w:r>
        <w:rPr>
          <w:rFonts w:ascii="Carlito" w:hAnsi="Carlito"/>
          <w:i w:val="0"/>
          <w:sz w:val="20"/>
        </w:rPr>
        <w:t>All values above are starting specifications. Any parameter changed after inspecting results must be recorded in docs/decision_log.md, with the reason and whether the change makes the analysis exploratory.</w:t>
      </w:r>
    </w:p>
    <w:p>
      <w:pPr>
        <w:pStyle w:val="Heading1"/>
        <w:keepNext/>
      </w:pPr>
      <w:r>
        <w:t>Appendix B. Command-Line Workflow</w:t>
      </w:r>
    </w:p>
    <w:p>
      <w:pPr>
        <w:pStyle w:val="CodeBlock"/>
        <w:shd w:fill="F3F4F6"/>
      </w:pPr>
      <w:r>
        <w:rPr>
          <w:rFonts w:ascii="DejaVu Sans Mono" w:hAnsi="DejaVu Sans Mono"/>
          <w:sz w:val="17"/>
        </w:rPr>
        <w:t># 1) Validate environment and configuration</w:t>
      </w:r>
      <w:r>
        <w:br/>
      </w:r>
      <w:r>
        <w:rPr>
          <w:rFonts w:ascii="DejaVu Sans Mono" w:hAnsi="DejaVu Sans Mono"/>
          <w:sz w:val="17"/>
        </w:rPr>
        <w:t>python -m src.data.metadata --config config.yaml</w:t>
      </w:r>
      <w:r>
        <w:br/>
      </w:r>
      <w:r>
        <w:rPr>
          <w:rFonts w:ascii="DejaVu Sans Mono" w:hAnsi="DejaVu Sans Mono"/>
          <w:sz w:val="17"/>
        </w:rPr>
      </w:r>
      <w:r>
        <w:br/>
      </w:r>
      <w:r>
        <w:rPr>
          <w:rFonts w:ascii="DejaVu Sans Mono" w:hAnsi="DejaVu Sans Mono"/>
          <w:sz w:val="17"/>
        </w:rPr>
        <w:t># 2) Build subject QC report</w:t>
      </w:r>
      <w:r>
        <w:br/>
      </w:r>
      <w:r>
        <w:rPr>
          <w:rFonts w:ascii="DejaVu Sans Mono" w:hAnsi="DejaVu Sans Mono"/>
          <w:sz w:val="17"/>
        </w:rPr>
        <w:t>python -m src.data.qc --config config.yaml</w:t>
      </w:r>
      <w:r>
        <w:br/>
      </w:r>
      <w:r>
        <w:rPr>
          <w:rFonts w:ascii="DejaVu Sans Mono" w:hAnsi="DejaVu Sans Mono"/>
          <w:sz w:val="17"/>
        </w:rPr>
      </w:r>
      <w:r>
        <w:br/>
      </w:r>
      <w:r>
        <w:rPr>
          <w:rFonts w:ascii="DejaVu Sans Mono" w:hAnsi="DejaVu Sans Mono"/>
          <w:sz w:val="17"/>
        </w:rPr>
        <w:t># 3) Create epoch index (do not duplicate raw arrays unnecessarily)</w:t>
      </w:r>
      <w:r>
        <w:br/>
      </w:r>
      <w:r>
        <w:rPr>
          <w:rFonts w:ascii="DejaVu Sans Mono" w:hAnsi="DejaVu Sans Mono"/>
          <w:sz w:val="17"/>
        </w:rPr>
        <w:t>python -m src.preprocessing.epoch --config config.yaml</w:t>
      </w:r>
      <w:r>
        <w:br/>
      </w:r>
      <w:r>
        <w:rPr>
          <w:rFonts w:ascii="DejaVu Sans Mono" w:hAnsi="DejaVu Sans Mono"/>
          <w:sz w:val="17"/>
        </w:rPr>
      </w:r>
      <w:r>
        <w:br/>
      </w:r>
      <w:r>
        <w:rPr>
          <w:rFonts w:ascii="DejaVu Sans Mono" w:hAnsi="DejaVu Sans Mono"/>
          <w:sz w:val="17"/>
        </w:rPr>
        <w:t># 4) Replicate DICE features</w:t>
      </w:r>
      <w:r>
        <w:br/>
      </w:r>
      <w:r>
        <w:rPr>
          <w:rFonts w:ascii="DejaVu Sans Mono" w:hAnsi="DejaVu Sans Mono"/>
          <w:sz w:val="17"/>
        </w:rPr>
        <w:t>python -m src.features.rbp --config config.yaml</w:t>
      </w:r>
      <w:r>
        <w:br/>
      </w:r>
      <w:r>
        <w:rPr>
          <w:rFonts w:ascii="DejaVu Sans Mono" w:hAnsi="DejaVu Sans Mono"/>
          <w:sz w:val="17"/>
        </w:rPr>
        <w:t>python -m src.features.coherence --config config.yaml</w:t>
      </w:r>
      <w:r>
        <w:br/>
      </w:r>
      <w:r>
        <w:rPr>
          <w:rFonts w:ascii="DejaVu Sans Mono" w:hAnsi="DejaVu Sans Mono"/>
          <w:sz w:val="17"/>
        </w:rPr>
      </w:r>
      <w:r>
        <w:br/>
      </w:r>
      <w:r>
        <w:rPr>
          <w:rFonts w:ascii="DejaVu Sans Mono" w:hAnsi="DejaVu Sans Mono"/>
          <w:sz w:val="17"/>
        </w:rPr>
        <w:t># 5) Spectral critique</w:t>
      </w:r>
      <w:r>
        <w:br/>
      </w:r>
      <w:r>
        <w:rPr>
          <w:rFonts w:ascii="DejaVu Sans Mono" w:hAnsi="DejaVu Sans Mono"/>
          <w:sz w:val="17"/>
        </w:rPr>
        <w:t>python -m src.features.iaf --config config.yaml</w:t>
      </w:r>
      <w:r>
        <w:br/>
      </w:r>
      <w:r>
        <w:rPr>
          <w:rFonts w:ascii="DejaVu Sans Mono" w:hAnsi="DejaVu Sans Mono"/>
          <w:sz w:val="17"/>
        </w:rPr>
        <w:t>python -m src.features.aperiodic --config config.yaml</w:t>
      </w:r>
      <w:r>
        <w:br/>
      </w:r>
      <w:r>
        <w:rPr>
          <w:rFonts w:ascii="DejaVu Sans Mono" w:hAnsi="DejaVu Sans Mono"/>
          <w:sz w:val="17"/>
        </w:rPr>
      </w:r>
      <w:r>
        <w:br/>
      </w:r>
      <w:r>
        <w:rPr>
          <w:rFonts w:ascii="DejaVu Sans Mono" w:hAnsi="DejaVu Sans Mono"/>
          <w:sz w:val="17"/>
        </w:rPr>
        <w:t># 6) Connectivity critique</w:t>
      </w:r>
      <w:r>
        <w:br/>
      </w:r>
      <w:r>
        <w:rPr>
          <w:rFonts w:ascii="DejaVu Sans Mono" w:hAnsi="DejaVu Sans Mono"/>
          <w:sz w:val="17"/>
        </w:rPr>
        <w:t>python -m src.features.wpli --config config.yaml</w:t>
      </w:r>
      <w:r>
        <w:br/>
      </w:r>
      <w:r>
        <w:rPr>
          <w:rFonts w:ascii="DejaVu Sans Mono" w:hAnsi="DejaVu Sans Mono"/>
          <w:sz w:val="17"/>
        </w:rPr>
        <w:t>python -m src.features.imaginary_coherence --config config.yaml</w:t>
      </w:r>
      <w:r>
        <w:br/>
      </w:r>
      <w:r>
        <w:rPr>
          <w:rFonts w:ascii="DejaVu Sans Mono" w:hAnsi="DejaVu Sans Mono"/>
          <w:sz w:val="17"/>
        </w:rPr>
      </w:r>
      <w:r>
        <w:br/>
      </w:r>
      <w:r>
        <w:rPr>
          <w:rFonts w:ascii="DejaVu Sans Mono" w:hAnsi="DejaVu Sans Mono"/>
          <w:sz w:val="17"/>
        </w:rPr>
        <w:t># 7) Subject-level statistics</w:t>
      </w:r>
      <w:r>
        <w:br/>
      </w:r>
      <w:r>
        <w:rPr>
          <w:rFonts w:ascii="DejaVu Sans Mono" w:hAnsi="DejaVu Sans Mono"/>
          <w:sz w:val="17"/>
        </w:rPr>
        <w:t>python -m src.statistics.group_analysis --config config.yaml</w:t>
      </w:r>
      <w:r>
        <w:br/>
      </w:r>
      <w:r>
        <w:rPr>
          <w:rFonts w:ascii="DejaVu Sans Mono" w:hAnsi="DejaVu Sans Mono"/>
          <w:sz w:val="17"/>
        </w:rPr>
      </w:r>
      <w:r>
        <w:br/>
      </w:r>
      <w:r>
        <w:rPr>
          <w:rFonts w:ascii="DejaVu Sans Mono" w:hAnsi="DejaVu Sans Mono"/>
          <w:sz w:val="17"/>
        </w:rPr>
        <w:t># 8) ML comparison</w:t>
      </w:r>
      <w:r>
        <w:br/>
      </w:r>
      <w:r>
        <w:rPr>
          <w:rFonts w:ascii="DejaVu Sans Mono" w:hAnsi="DejaVu Sans Mono"/>
          <w:sz w:val="17"/>
        </w:rPr>
        <w:t>python -m src.models.classification --config config.yaml</w:t>
      </w:r>
      <w:r>
        <w:br/>
      </w:r>
      <w:r>
        <w:rPr>
          <w:rFonts w:ascii="DejaVu Sans Mono" w:hAnsi="DejaVu Sans Mono"/>
          <w:sz w:val="17"/>
        </w:rPr>
      </w:r>
      <w:r>
        <w:br/>
      </w:r>
      <w:r>
        <w:rPr>
          <w:rFonts w:ascii="DejaVu Sans Mono" w:hAnsi="DejaVu Sans Mono"/>
          <w:sz w:val="17"/>
        </w:rPr>
        <w:t># 9) Channel reduction (only after robust feature set is locked)</w:t>
      </w:r>
      <w:r>
        <w:br/>
      </w:r>
      <w:r>
        <w:rPr>
          <w:rFonts w:ascii="DejaVu Sans Mono" w:hAnsi="DejaVu Sans Mono"/>
          <w:sz w:val="17"/>
        </w:rPr>
        <w:t>python -m src.channel_selection.forward_selection --config config.yaml</w:t>
      </w:r>
      <w:r>
        <w:br/>
      </w:r>
      <w:r>
        <w:rPr>
          <w:rFonts w:ascii="DejaVu Sans Mono" w:hAnsi="DejaVu Sans Mono"/>
          <w:sz w:val="17"/>
        </w:rPr>
      </w:r>
      <w:r>
        <w:br/>
      </w:r>
      <w:r>
        <w:rPr>
          <w:rFonts w:ascii="DejaVu Sans Mono" w:hAnsi="DejaVu Sans Mono"/>
          <w:sz w:val="17"/>
        </w:rPr>
        <w:t># 10) Regenerate all final figures/tables</w:t>
      </w:r>
      <w:r>
        <w:br/>
      </w:r>
      <w:r>
        <w:rPr>
          <w:rFonts w:ascii="DejaVu Sans Mono" w:hAnsi="DejaVu Sans Mono"/>
          <w:sz w:val="17"/>
        </w:rPr>
        <w:t>python -m src.reporting.figures --config config.yaml</w:t>
      </w:r>
      <w:r>
        <w:br/>
      </w:r>
      <w:r>
        <w:rPr>
          <w:rFonts w:ascii="DejaVu Sans Mono" w:hAnsi="DejaVu Sans Mono"/>
          <w:sz w:val="17"/>
        </w:rPr>
        <w:t>python -m src.reporting.tables --config config.yaml</w:t>
      </w:r>
    </w:p>
    <w:p>
      <w:r>
        <w:br w:type="page"/>
      </w:r>
    </w:p>
    <w:p>
      <w:pPr>
        <w:pStyle w:val="Heading1"/>
        <w:keepNext/>
      </w:pPr>
      <w:r>
        <w:t>Appendix C. Data Dictionaries</w:t>
      </w:r>
    </w:p>
    <w:p>
      <w:pPr>
        <w:pStyle w:val="Heading2"/>
        <w:keepNext/>
      </w:pPr>
      <w:r>
        <w:t>C.1 Subject metadata</w:t>
      </w:r>
    </w:p>
    <w:tbl>
      <w:tblPr>
        <w:tblStyle w:val="TableGrid"/>
        <w:tblW w:type="auto" w:w="0"/>
        <w:jc w:val="center"/>
        <w:tblLook w:firstColumn="1" w:firstRow="1" w:lastColumn="0" w:lastRow="0" w:noHBand="0" w:noVBand="1" w:val="04A0"/>
      </w:tblPr>
      <w:tblGrid>
        <w:gridCol w:w="3331"/>
        <w:gridCol w:w="3331"/>
        <w:gridCol w:w="3331"/>
      </w:tblGrid>
      <w:tr>
        <w:trPr>
          <w:cantSplit/>
        </w:trPr>
        <w:tc>
          <w:tcPr>
            <w:tcW w:type="dxa" w:w="3312"/>
            <w:vAlign w:val="center"/>
            <w:shd w:fill="1B3A6B"/>
          </w:tcPr>
          <w:p>
            <w:pPr>
              <w:spacing w:after="0"/>
            </w:pPr>
            <w:r/>
            <w:r>
              <w:rPr>
                <w:rFonts w:ascii="Carlito" w:hAnsi="Carlito"/>
                <w:b/>
                <w:color w:val="FFFFFF"/>
                <w:sz w:val="18"/>
              </w:rPr>
              <w:t>Column</w:t>
            </w:r>
          </w:p>
        </w:tc>
        <w:tc>
          <w:tcPr>
            <w:tcW w:type="dxa" w:w="1728"/>
            <w:vAlign w:val="center"/>
            <w:shd w:fill="1B3A6B"/>
          </w:tcPr>
          <w:p>
            <w:pPr>
              <w:spacing w:after="0"/>
            </w:pPr>
            <w:r/>
            <w:r>
              <w:rPr>
                <w:rFonts w:ascii="Carlito" w:hAnsi="Carlito"/>
                <w:b/>
                <w:color w:val="FFFFFF"/>
                <w:sz w:val="18"/>
              </w:rPr>
              <w:t>Type</w:t>
            </w:r>
          </w:p>
        </w:tc>
        <w:tc>
          <w:tcPr>
            <w:tcW w:type="dxa" w:w="5040"/>
            <w:vAlign w:val="center"/>
            <w:shd w:fill="1B3A6B"/>
          </w:tcPr>
          <w:p>
            <w:pPr>
              <w:spacing w:after="0"/>
            </w:pPr>
            <w:r/>
            <w:r>
              <w:rPr>
                <w:rFonts w:ascii="Carlito" w:hAnsi="Carlito"/>
                <w:b/>
                <w:color w:val="FFFFFF"/>
                <w:sz w:val="18"/>
              </w:rPr>
              <w:t>Meaning</w:t>
            </w:r>
          </w:p>
        </w:tc>
      </w:tr>
      <w:tr>
        <w:trPr>
          <w:cantSplit/>
        </w:trPr>
        <w:tc>
          <w:tcPr>
            <w:tcW w:type="dxa" w:w="3312"/>
            <w:vAlign w:val="center"/>
          </w:tcPr>
          <w:p>
            <w:pPr>
              <w:spacing w:after="0"/>
            </w:pPr>
            <w:r/>
            <w:r>
              <w:rPr>
                <w:rFonts w:ascii="Carlito" w:hAnsi="Carlito"/>
                <w:b w:val="0"/>
                <w:color w:val="232323"/>
                <w:sz w:val="17"/>
              </w:rPr>
              <w:t>subject_id</w:t>
            </w:r>
          </w:p>
        </w:tc>
        <w:tc>
          <w:tcPr>
            <w:tcW w:type="dxa" w:w="1728"/>
            <w:vAlign w:val="center"/>
          </w:tcPr>
          <w:p>
            <w:pPr>
              <w:spacing w:after="0"/>
            </w:pPr>
            <w:r/>
            <w:r>
              <w:rPr>
                <w:rFonts w:ascii="Carlito" w:hAnsi="Carlito"/>
                <w:b w:val="0"/>
                <w:color w:val="232323"/>
                <w:sz w:val="17"/>
              </w:rPr>
              <w:t>string</w:t>
            </w:r>
          </w:p>
        </w:tc>
        <w:tc>
          <w:tcPr>
            <w:tcW w:type="dxa" w:w="5040"/>
            <w:vAlign w:val="center"/>
          </w:tcPr>
          <w:p>
            <w:pPr>
              <w:spacing w:after="0"/>
            </w:pPr>
            <w:r/>
            <w:r>
              <w:rPr>
                <w:rFonts w:ascii="Carlito" w:hAnsi="Carlito"/>
                <w:b w:val="0"/>
                <w:color w:val="232323"/>
                <w:sz w:val="17"/>
              </w:rPr>
              <w:t>Unique BIDS subject identifier</w:t>
            </w:r>
          </w:p>
        </w:tc>
      </w:tr>
      <w:tr>
        <w:trPr>
          <w:cantSplit/>
        </w:trPr>
        <w:tc>
          <w:tcPr>
            <w:tcW w:type="dxa" w:w="3312"/>
            <w:vAlign w:val="center"/>
            <w:shd w:fill="F4F6F8"/>
          </w:tcPr>
          <w:p>
            <w:pPr>
              <w:spacing w:after="0"/>
            </w:pPr>
            <w:r/>
            <w:r>
              <w:rPr>
                <w:rFonts w:ascii="Carlito" w:hAnsi="Carlito"/>
                <w:b w:val="0"/>
                <w:color w:val="232323"/>
                <w:sz w:val="17"/>
              </w:rPr>
              <w:t>diagnosis</w:t>
            </w:r>
          </w:p>
        </w:tc>
        <w:tc>
          <w:tcPr>
            <w:tcW w:type="dxa" w:w="1728"/>
            <w:vAlign w:val="center"/>
            <w:shd w:fill="F4F6F8"/>
          </w:tcPr>
          <w:p>
            <w:pPr>
              <w:spacing w:after="0"/>
            </w:pPr>
            <w:r/>
            <w:r>
              <w:rPr>
                <w:rFonts w:ascii="Carlito" w:hAnsi="Carlito"/>
                <w:b w:val="0"/>
                <w:color w:val="232323"/>
                <w:sz w:val="17"/>
              </w:rPr>
              <w:t>categorical</w:t>
            </w:r>
          </w:p>
        </w:tc>
        <w:tc>
          <w:tcPr>
            <w:tcW w:type="dxa" w:w="5040"/>
            <w:vAlign w:val="center"/>
            <w:shd w:fill="F4F6F8"/>
          </w:tcPr>
          <w:p>
            <w:pPr>
              <w:spacing w:after="0"/>
            </w:pPr>
            <w:r/>
            <w:r>
              <w:rPr>
                <w:rFonts w:ascii="Carlito" w:hAnsi="Carlito"/>
                <w:b w:val="0"/>
                <w:color w:val="232323"/>
                <w:sz w:val="17"/>
              </w:rPr>
              <w:t>AD / FTD / CN</w:t>
            </w:r>
          </w:p>
        </w:tc>
      </w:tr>
      <w:tr>
        <w:trPr>
          <w:cantSplit/>
        </w:trPr>
        <w:tc>
          <w:tcPr>
            <w:tcW w:type="dxa" w:w="3312"/>
            <w:vAlign w:val="center"/>
          </w:tcPr>
          <w:p>
            <w:pPr>
              <w:spacing w:after="0"/>
            </w:pPr>
            <w:r/>
            <w:r>
              <w:rPr>
                <w:rFonts w:ascii="Carlito" w:hAnsi="Carlito"/>
                <w:b w:val="0"/>
                <w:color w:val="232323"/>
                <w:sz w:val="17"/>
              </w:rPr>
              <w:t>age</w:t>
            </w:r>
          </w:p>
        </w:tc>
        <w:tc>
          <w:tcPr>
            <w:tcW w:type="dxa" w:w="1728"/>
            <w:vAlign w:val="center"/>
          </w:tcPr>
          <w:p>
            <w:pPr>
              <w:spacing w:after="0"/>
            </w:pPr>
            <w:r/>
            <w:r>
              <w:rPr>
                <w:rFonts w:ascii="Carlito" w:hAnsi="Carlito"/>
                <w:b w:val="0"/>
                <w:color w:val="232323"/>
                <w:sz w:val="17"/>
              </w:rPr>
              <w:t>numeric</w:t>
            </w:r>
          </w:p>
        </w:tc>
        <w:tc>
          <w:tcPr>
            <w:tcW w:type="dxa" w:w="5040"/>
            <w:vAlign w:val="center"/>
          </w:tcPr>
          <w:p>
            <w:pPr>
              <w:spacing w:after="0"/>
            </w:pPr>
            <w:r/>
            <w:r>
              <w:rPr>
                <w:rFonts w:ascii="Carlito" w:hAnsi="Carlito"/>
                <w:b w:val="0"/>
                <w:color w:val="232323"/>
                <w:sz w:val="17"/>
              </w:rPr>
              <w:t>Age in years</w:t>
            </w:r>
          </w:p>
        </w:tc>
      </w:tr>
      <w:tr>
        <w:trPr>
          <w:cantSplit/>
        </w:trPr>
        <w:tc>
          <w:tcPr>
            <w:tcW w:type="dxa" w:w="3312"/>
            <w:vAlign w:val="center"/>
            <w:shd w:fill="F4F6F8"/>
          </w:tcPr>
          <w:p>
            <w:pPr>
              <w:spacing w:after="0"/>
            </w:pPr>
            <w:r/>
            <w:r>
              <w:rPr>
                <w:rFonts w:ascii="Carlito" w:hAnsi="Carlito"/>
                <w:b w:val="0"/>
                <w:color w:val="232323"/>
                <w:sz w:val="17"/>
              </w:rPr>
              <w:t>sex</w:t>
            </w:r>
          </w:p>
        </w:tc>
        <w:tc>
          <w:tcPr>
            <w:tcW w:type="dxa" w:w="1728"/>
            <w:vAlign w:val="center"/>
            <w:shd w:fill="F4F6F8"/>
          </w:tcPr>
          <w:p>
            <w:pPr>
              <w:spacing w:after="0"/>
            </w:pPr>
            <w:r/>
            <w:r>
              <w:rPr>
                <w:rFonts w:ascii="Carlito" w:hAnsi="Carlito"/>
                <w:b w:val="0"/>
                <w:color w:val="232323"/>
                <w:sz w:val="17"/>
              </w:rPr>
              <w:t>categorical</w:t>
            </w:r>
          </w:p>
        </w:tc>
        <w:tc>
          <w:tcPr>
            <w:tcW w:type="dxa" w:w="5040"/>
            <w:vAlign w:val="center"/>
            <w:shd w:fill="F4F6F8"/>
          </w:tcPr>
          <w:p>
            <w:pPr>
              <w:spacing w:after="0"/>
            </w:pPr>
            <w:r/>
            <w:r>
              <w:rPr>
                <w:rFonts w:ascii="Carlito" w:hAnsi="Carlito"/>
                <w:b w:val="0"/>
                <w:color w:val="232323"/>
                <w:sz w:val="17"/>
              </w:rPr>
              <w:t>Dataset-coded sex</w:t>
            </w:r>
          </w:p>
        </w:tc>
      </w:tr>
      <w:tr>
        <w:trPr>
          <w:cantSplit/>
        </w:trPr>
        <w:tc>
          <w:tcPr>
            <w:tcW w:type="dxa" w:w="3312"/>
            <w:vAlign w:val="center"/>
          </w:tcPr>
          <w:p>
            <w:pPr>
              <w:spacing w:after="0"/>
            </w:pPr>
            <w:r/>
            <w:r>
              <w:rPr>
                <w:rFonts w:ascii="Carlito" w:hAnsi="Carlito"/>
                <w:b w:val="0"/>
                <w:color w:val="232323"/>
                <w:sz w:val="17"/>
              </w:rPr>
              <w:t>mmse</w:t>
            </w:r>
          </w:p>
        </w:tc>
        <w:tc>
          <w:tcPr>
            <w:tcW w:type="dxa" w:w="1728"/>
            <w:vAlign w:val="center"/>
          </w:tcPr>
          <w:p>
            <w:pPr>
              <w:spacing w:after="0"/>
            </w:pPr>
            <w:r/>
            <w:r>
              <w:rPr>
                <w:rFonts w:ascii="Carlito" w:hAnsi="Carlito"/>
                <w:b w:val="0"/>
                <w:color w:val="232323"/>
                <w:sz w:val="17"/>
              </w:rPr>
              <w:t>numeric</w:t>
            </w:r>
          </w:p>
        </w:tc>
        <w:tc>
          <w:tcPr>
            <w:tcW w:type="dxa" w:w="5040"/>
            <w:vAlign w:val="center"/>
          </w:tcPr>
          <w:p>
            <w:pPr>
              <w:spacing w:after="0"/>
            </w:pPr>
            <w:r/>
            <w:r>
              <w:rPr>
                <w:rFonts w:ascii="Carlito" w:hAnsi="Carlito"/>
                <w:b w:val="0"/>
                <w:color w:val="232323"/>
                <w:sz w:val="17"/>
              </w:rPr>
              <w:t>Mini-Mental State Examination score</w:t>
            </w:r>
          </w:p>
        </w:tc>
      </w:tr>
      <w:tr>
        <w:trPr>
          <w:cantSplit/>
        </w:trPr>
        <w:tc>
          <w:tcPr>
            <w:tcW w:type="dxa" w:w="3312"/>
            <w:vAlign w:val="center"/>
            <w:shd w:fill="F4F6F8"/>
          </w:tcPr>
          <w:p>
            <w:pPr>
              <w:spacing w:after="0"/>
            </w:pPr>
            <w:r/>
            <w:r>
              <w:rPr>
                <w:rFonts w:ascii="Carlito" w:hAnsi="Carlito"/>
                <w:b w:val="0"/>
                <w:color w:val="232323"/>
                <w:sz w:val="17"/>
              </w:rPr>
              <w:t>disease_duration_months</w:t>
            </w:r>
          </w:p>
        </w:tc>
        <w:tc>
          <w:tcPr>
            <w:tcW w:type="dxa" w:w="1728"/>
            <w:vAlign w:val="center"/>
            <w:shd w:fill="F4F6F8"/>
          </w:tcPr>
          <w:p>
            <w:pPr>
              <w:spacing w:after="0"/>
            </w:pPr>
            <w:r/>
            <w:r>
              <w:rPr>
                <w:rFonts w:ascii="Carlito" w:hAnsi="Carlito"/>
                <w:b w:val="0"/>
                <w:color w:val="232323"/>
                <w:sz w:val="17"/>
              </w:rPr>
              <w:t>numeric/NA</w:t>
            </w:r>
          </w:p>
        </w:tc>
        <w:tc>
          <w:tcPr>
            <w:tcW w:type="dxa" w:w="5040"/>
            <w:vAlign w:val="center"/>
            <w:shd w:fill="F4F6F8"/>
          </w:tcPr>
          <w:p>
            <w:pPr>
              <w:spacing w:after="0"/>
            </w:pPr>
            <w:r/>
            <w:r>
              <w:rPr>
                <w:rFonts w:ascii="Carlito" w:hAnsi="Carlito"/>
                <w:b w:val="0"/>
                <w:color w:val="232323"/>
                <w:sz w:val="17"/>
              </w:rPr>
              <w:t>Patient disease duration when available</w:t>
            </w:r>
          </w:p>
        </w:tc>
      </w:tr>
      <w:tr>
        <w:trPr>
          <w:cantSplit/>
        </w:trPr>
        <w:tc>
          <w:tcPr>
            <w:tcW w:type="dxa" w:w="3312"/>
            <w:vAlign w:val="center"/>
          </w:tcPr>
          <w:p>
            <w:pPr>
              <w:spacing w:after="0"/>
            </w:pPr>
            <w:r/>
            <w:r>
              <w:rPr>
                <w:rFonts w:ascii="Carlito" w:hAnsi="Carlito"/>
                <w:b w:val="0"/>
                <w:color w:val="232323"/>
                <w:sz w:val="17"/>
              </w:rPr>
              <w:t>qc_status</w:t>
            </w:r>
          </w:p>
        </w:tc>
        <w:tc>
          <w:tcPr>
            <w:tcW w:type="dxa" w:w="1728"/>
            <w:vAlign w:val="center"/>
          </w:tcPr>
          <w:p>
            <w:pPr>
              <w:spacing w:after="0"/>
            </w:pPr>
            <w:r/>
            <w:r>
              <w:rPr>
                <w:rFonts w:ascii="Carlito" w:hAnsi="Carlito"/>
                <w:b w:val="0"/>
                <w:color w:val="232323"/>
                <w:sz w:val="17"/>
              </w:rPr>
              <w:t>categorical</w:t>
            </w:r>
          </w:p>
        </w:tc>
        <w:tc>
          <w:tcPr>
            <w:tcW w:type="dxa" w:w="5040"/>
            <w:vAlign w:val="center"/>
          </w:tcPr>
          <w:p>
            <w:pPr>
              <w:spacing w:after="0"/>
            </w:pPr>
            <w:r/>
            <w:r>
              <w:rPr>
                <w:rFonts w:ascii="Carlito" w:hAnsi="Carlito"/>
                <w:b w:val="0"/>
                <w:color w:val="232323"/>
                <w:sz w:val="17"/>
              </w:rPr>
              <w:t>PASS / REVIEW / FAIL</w:t>
            </w:r>
          </w:p>
        </w:tc>
      </w:tr>
    </w:tbl>
    <w:p>
      <w:pPr>
        <w:spacing w:after="0"/>
      </w:pPr>
    </w:p>
    <w:p>
      <w:pPr>
        <w:pStyle w:val="Heading2"/>
        <w:keepNext/>
      </w:pPr>
      <w:r>
        <w:t>C.2 Window index</w:t>
      </w:r>
    </w:p>
    <w:tbl>
      <w:tblPr>
        <w:tblStyle w:val="TableGrid"/>
        <w:tblW w:type="auto" w:w="0"/>
        <w:jc w:val="center"/>
        <w:tblLook w:firstColumn="1" w:firstRow="1" w:lastColumn="0" w:lastRow="0" w:noHBand="0" w:noVBand="1" w:val="04A0"/>
      </w:tblPr>
      <w:tblGrid>
        <w:gridCol w:w="4997"/>
        <w:gridCol w:w="4997"/>
      </w:tblGrid>
      <w:tr>
        <w:trPr>
          <w:cantSplit/>
        </w:trPr>
        <w:tc>
          <w:tcPr>
            <w:tcW w:type="dxa" w:w="3312"/>
            <w:vAlign w:val="center"/>
            <w:shd w:fill="1B3A6B"/>
          </w:tcPr>
          <w:p>
            <w:pPr>
              <w:spacing w:after="0"/>
            </w:pPr>
            <w:r/>
            <w:r>
              <w:rPr>
                <w:rFonts w:ascii="Carlito" w:hAnsi="Carlito"/>
                <w:b/>
                <w:color w:val="FFFFFF"/>
                <w:sz w:val="18"/>
              </w:rPr>
              <w:t>Column</w:t>
            </w:r>
          </w:p>
        </w:tc>
        <w:tc>
          <w:tcPr>
            <w:tcW w:type="dxa" w:w="6768"/>
            <w:vAlign w:val="center"/>
            <w:shd w:fill="1B3A6B"/>
          </w:tcPr>
          <w:p>
            <w:pPr>
              <w:spacing w:after="0"/>
            </w:pPr>
            <w:r/>
            <w:r>
              <w:rPr>
                <w:rFonts w:ascii="Carlito" w:hAnsi="Carlito"/>
                <w:b/>
                <w:color w:val="FFFFFF"/>
                <w:sz w:val="18"/>
              </w:rPr>
              <w:t>Meaning</w:t>
            </w:r>
          </w:p>
        </w:tc>
      </w:tr>
      <w:tr>
        <w:trPr>
          <w:cantSplit/>
        </w:trPr>
        <w:tc>
          <w:tcPr>
            <w:tcW w:type="dxa" w:w="3312"/>
            <w:vAlign w:val="center"/>
          </w:tcPr>
          <w:p>
            <w:pPr>
              <w:spacing w:after="0"/>
            </w:pPr>
            <w:r/>
            <w:r>
              <w:rPr>
                <w:rFonts w:ascii="Carlito" w:hAnsi="Carlito"/>
                <w:b w:val="0"/>
                <w:color w:val="232323"/>
                <w:sz w:val="17"/>
              </w:rPr>
              <w:t>subject_id</w:t>
            </w:r>
          </w:p>
        </w:tc>
        <w:tc>
          <w:tcPr>
            <w:tcW w:type="dxa" w:w="6768"/>
            <w:vAlign w:val="center"/>
          </w:tcPr>
          <w:p>
            <w:pPr>
              <w:spacing w:after="0"/>
            </w:pPr>
            <w:r/>
            <w:r>
              <w:rPr>
                <w:rFonts w:ascii="Carlito" w:hAnsi="Carlito"/>
                <w:b w:val="0"/>
                <w:color w:val="232323"/>
                <w:sz w:val="17"/>
              </w:rPr>
              <w:t>Independent participant identity</w:t>
            </w:r>
          </w:p>
        </w:tc>
      </w:tr>
      <w:tr>
        <w:trPr>
          <w:cantSplit/>
        </w:trPr>
        <w:tc>
          <w:tcPr>
            <w:tcW w:type="dxa" w:w="3312"/>
            <w:vAlign w:val="center"/>
            <w:shd w:fill="F4F6F8"/>
          </w:tcPr>
          <w:p>
            <w:pPr>
              <w:spacing w:after="0"/>
            </w:pPr>
            <w:r/>
            <w:r>
              <w:rPr>
                <w:rFonts w:ascii="Carlito" w:hAnsi="Carlito"/>
                <w:b w:val="0"/>
                <w:color w:val="232323"/>
                <w:sz w:val="17"/>
              </w:rPr>
              <w:t>window_id</w:t>
            </w:r>
          </w:p>
        </w:tc>
        <w:tc>
          <w:tcPr>
            <w:tcW w:type="dxa" w:w="6768"/>
            <w:vAlign w:val="center"/>
            <w:shd w:fill="F4F6F8"/>
          </w:tcPr>
          <w:p>
            <w:pPr>
              <w:spacing w:after="0"/>
            </w:pPr>
            <w:r/>
            <w:r>
              <w:rPr>
                <w:rFonts w:ascii="Carlito" w:hAnsi="Carlito"/>
                <w:b w:val="0"/>
                <w:color w:val="232323"/>
                <w:sz w:val="17"/>
              </w:rPr>
              <w:t>Unique within-subject window</w:t>
            </w:r>
          </w:p>
        </w:tc>
      </w:tr>
      <w:tr>
        <w:trPr>
          <w:cantSplit/>
        </w:trPr>
        <w:tc>
          <w:tcPr>
            <w:tcW w:type="dxa" w:w="3312"/>
            <w:vAlign w:val="center"/>
          </w:tcPr>
          <w:p>
            <w:pPr>
              <w:spacing w:after="0"/>
            </w:pPr>
            <w:r/>
            <w:r>
              <w:rPr>
                <w:rFonts w:ascii="Carlito" w:hAnsi="Carlito"/>
                <w:b w:val="0"/>
                <w:color w:val="232323"/>
                <w:sz w:val="17"/>
              </w:rPr>
              <w:t>start_sec</w:t>
            </w:r>
          </w:p>
        </w:tc>
        <w:tc>
          <w:tcPr>
            <w:tcW w:type="dxa" w:w="6768"/>
            <w:vAlign w:val="center"/>
          </w:tcPr>
          <w:p>
            <w:pPr>
              <w:spacing w:after="0"/>
            </w:pPr>
            <w:r/>
            <w:r>
              <w:rPr>
                <w:rFonts w:ascii="Carlito" w:hAnsi="Carlito"/>
                <w:b w:val="0"/>
                <w:color w:val="232323"/>
                <w:sz w:val="17"/>
              </w:rPr>
              <w:t>Window onset</w:t>
            </w:r>
          </w:p>
        </w:tc>
      </w:tr>
      <w:tr>
        <w:trPr>
          <w:cantSplit/>
        </w:trPr>
        <w:tc>
          <w:tcPr>
            <w:tcW w:type="dxa" w:w="3312"/>
            <w:vAlign w:val="center"/>
            <w:shd w:fill="F4F6F8"/>
          </w:tcPr>
          <w:p>
            <w:pPr>
              <w:spacing w:after="0"/>
            </w:pPr>
            <w:r/>
            <w:r>
              <w:rPr>
                <w:rFonts w:ascii="Carlito" w:hAnsi="Carlito"/>
                <w:b w:val="0"/>
                <w:color w:val="232323"/>
                <w:sz w:val="17"/>
              </w:rPr>
              <w:t>stop_sec</w:t>
            </w:r>
          </w:p>
        </w:tc>
        <w:tc>
          <w:tcPr>
            <w:tcW w:type="dxa" w:w="6768"/>
            <w:vAlign w:val="center"/>
            <w:shd w:fill="F4F6F8"/>
          </w:tcPr>
          <w:p>
            <w:pPr>
              <w:spacing w:after="0"/>
            </w:pPr>
            <w:r/>
            <w:r>
              <w:rPr>
                <w:rFonts w:ascii="Carlito" w:hAnsi="Carlito"/>
                <w:b w:val="0"/>
                <w:color w:val="232323"/>
                <w:sz w:val="17"/>
              </w:rPr>
              <w:t>Window end</w:t>
            </w:r>
          </w:p>
        </w:tc>
      </w:tr>
      <w:tr>
        <w:trPr>
          <w:cantSplit/>
        </w:trPr>
        <w:tc>
          <w:tcPr>
            <w:tcW w:type="dxa" w:w="3312"/>
            <w:vAlign w:val="center"/>
          </w:tcPr>
          <w:p>
            <w:pPr>
              <w:spacing w:after="0"/>
            </w:pPr>
            <w:r/>
            <w:r>
              <w:rPr>
                <w:rFonts w:ascii="Carlito" w:hAnsi="Carlito"/>
                <w:b w:val="0"/>
                <w:color w:val="232323"/>
                <w:sz w:val="17"/>
              </w:rPr>
              <w:t>diagnosis</w:t>
            </w:r>
          </w:p>
        </w:tc>
        <w:tc>
          <w:tcPr>
            <w:tcW w:type="dxa" w:w="6768"/>
            <w:vAlign w:val="center"/>
          </w:tcPr>
          <w:p>
            <w:pPr>
              <w:spacing w:after="0"/>
            </w:pPr>
            <w:r/>
            <w:r>
              <w:rPr>
                <w:rFonts w:ascii="Carlito" w:hAnsi="Carlito"/>
                <w:b w:val="0"/>
                <w:color w:val="232323"/>
                <w:sz w:val="17"/>
              </w:rPr>
              <w:t>Group label copied from metadata</w:t>
            </w:r>
          </w:p>
        </w:tc>
      </w:tr>
      <w:tr>
        <w:trPr>
          <w:cantSplit/>
        </w:trPr>
        <w:tc>
          <w:tcPr>
            <w:tcW w:type="dxa" w:w="3312"/>
            <w:vAlign w:val="center"/>
            <w:shd w:fill="F4F6F8"/>
          </w:tcPr>
          <w:p>
            <w:pPr>
              <w:spacing w:after="0"/>
            </w:pPr>
            <w:r/>
            <w:r>
              <w:rPr>
                <w:rFonts w:ascii="Carlito" w:hAnsi="Carlito"/>
                <w:b w:val="0"/>
                <w:color w:val="232323"/>
                <w:sz w:val="17"/>
              </w:rPr>
              <w:t>usable</w:t>
            </w:r>
          </w:p>
        </w:tc>
        <w:tc>
          <w:tcPr>
            <w:tcW w:type="dxa" w:w="6768"/>
            <w:vAlign w:val="center"/>
            <w:shd w:fill="F4F6F8"/>
          </w:tcPr>
          <w:p>
            <w:pPr>
              <w:spacing w:after="0"/>
            </w:pPr>
            <w:r/>
            <w:r>
              <w:rPr>
                <w:rFonts w:ascii="Carlito" w:hAnsi="Carlito"/>
                <w:b w:val="0"/>
                <w:color w:val="232323"/>
                <w:sz w:val="17"/>
              </w:rPr>
              <w:t>QC flag</w:t>
            </w:r>
          </w:p>
        </w:tc>
      </w:tr>
      <w:tr>
        <w:trPr>
          <w:cantSplit/>
        </w:trPr>
        <w:tc>
          <w:tcPr>
            <w:tcW w:type="dxa" w:w="3312"/>
            <w:vAlign w:val="center"/>
          </w:tcPr>
          <w:p>
            <w:pPr>
              <w:spacing w:after="0"/>
            </w:pPr>
            <w:r/>
            <w:r>
              <w:rPr>
                <w:rFonts w:ascii="Carlito" w:hAnsi="Carlito"/>
                <w:b w:val="0"/>
                <w:color w:val="232323"/>
                <w:sz w:val="17"/>
              </w:rPr>
              <w:t>reject_reason</w:t>
            </w:r>
          </w:p>
        </w:tc>
        <w:tc>
          <w:tcPr>
            <w:tcW w:type="dxa" w:w="6768"/>
            <w:vAlign w:val="center"/>
          </w:tcPr>
          <w:p>
            <w:pPr>
              <w:spacing w:after="0"/>
            </w:pPr>
            <w:r/>
            <w:r>
              <w:rPr>
                <w:rFonts w:ascii="Carlito" w:hAnsi="Carlito"/>
                <w:b w:val="0"/>
                <w:color w:val="232323"/>
                <w:sz w:val="17"/>
              </w:rPr>
              <w:t>Reason for exclusion if unusable</w:t>
            </w:r>
          </w:p>
        </w:tc>
      </w:tr>
    </w:tbl>
    <w:p>
      <w:pPr>
        <w:spacing w:after="0"/>
      </w:pPr>
    </w:p>
    <w:p>
      <w:pPr>
        <w:pStyle w:val="Heading2"/>
        <w:keepNext/>
      </w:pPr>
      <w:r>
        <w:t>C.3 Feature table</w:t>
      </w:r>
    </w:p>
    <w:tbl>
      <w:tblPr>
        <w:tblStyle w:val="TableGrid"/>
        <w:tblW w:type="auto" w:w="0"/>
        <w:jc w:val="center"/>
        <w:tblLook w:firstColumn="1" w:firstRow="1" w:lastColumn="0" w:lastRow="0" w:noHBand="0" w:noVBand="1" w:val="04A0"/>
      </w:tblPr>
      <w:tblGrid>
        <w:gridCol w:w="4997"/>
        <w:gridCol w:w="4997"/>
      </w:tblGrid>
      <w:tr>
        <w:trPr>
          <w:cantSplit/>
        </w:trPr>
        <w:tc>
          <w:tcPr>
            <w:tcW w:type="dxa" w:w="3312"/>
            <w:vAlign w:val="center"/>
            <w:shd w:fill="1B3A6B"/>
          </w:tcPr>
          <w:p>
            <w:pPr>
              <w:spacing w:after="0"/>
            </w:pPr>
            <w:r/>
            <w:r>
              <w:rPr>
                <w:rFonts w:ascii="Carlito" w:hAnsi="Carlito"/>
                <w:b/>
                <w:color w:val="FFFFFF"/>
                <w:sz w:val="18"/>
              </w:rPr>
              <w:t>Column</w:t>
            </w:r>
          </w:p>
        </w:tc>
        <w:tc>
          <w:tcPr>
            <w:tcW w:type="dxa" w:w="6768"/>
            <w:vAlign w:val="center"/>
            <w:shd w:fill="1B3A6B"/>
          </w:tcPr>
          <w:p>
            <w:pPr>
              <w:spacing w:after="0"/>
            </w:pPr>
            <w:r/>
            <w:r>
              <w:rPr>
                <w:rFonts w:ascii="Carlito" w:hAnsi="Carlito"/>
                <w:b/>
                <w:color w:val="FFFFFF"/>
                <w:sz w:val="18"/>
              </w:rPr>
              <w:t>Meaning</w:t>
            </w:r>
          </w:p>
        </w:tc>
      </w:tr>
      <w:tr>
        <w:trPr>
          <w:cantSplit/>
        </w:trPr>
        <w:tc>
          <w:tcPr>
            <w:tcW w:type="dxa" w:w="3312"/>
            <w:vAlign w:val="center"/>
          </w:tcPr>
          <w:p>
            <w:pPr>
              <w:spacing w:after="0"/>
            </w:pPr>
            <w:r/>
            <w:r>
              <w:rPr>
                <w:rFonts w:ascii="Carlito" w:hAnsi="Carlito"/>
                <w:b w:val="0"/>
                <w:color w:val="232323"/>
                <w:sz w:val="17"/>
              </w:rPr>
              <w:t>subject_id</w:t>
            </w:r>
          </w:p>
        </w:tc>
        <w:tc>
          <w:tcPr>
            <w:tcW w:type="dxa" w:w="6768"/>
            <w:vAlign w:val="center"/>
          </w:tcPr>
          <w:p>
            <w:pPr>
              <w:spacing w:after="0"/>
            </w:pPr>
            <w:r/>
            <w:r>
              <w:rPr>
                <w:rFonts w:ascii="Carlito" w:hAnsi="Carlito"/>
                <w:b w:val="0"/>
                <w:color w:val="232323"/>
                <w:sz w:val="17"/>
              </w:rPr>
              <w:t>Subject identity</w:t>
            </w:r>
          </w:p>
        </w:tc>
      </w:tr>
      <w:tr>
        <w:trPr>
          <w:cantSplit/>
        </w:trPr>
        <w:tc>
          <w:tcPr>
            <w:tcW w:type="dxa" w:w="3312"/>
            <w:vAlign w:val="center"/>
            <w:shd w:fill="F4F6F8"/>
          </w:tcPr>
          <w:p>
            <w:pPr>
              <w:spacing w:after="0"/>
            </w:pPr>
            <w:r/>
            <w:r>
              <w:rPr>
                <w:rFonts w:ascii="Carlito" w:hAnsi="Carlito"/>
                <w:b w:val="0"/>
                <w:color w:val="232323"/>
                <w:sz w:val="17"/>
              </w:rPr>
              <w:t>window_id</w:t>
            </w:r>
          </w:p>
        </w:tc>
        <w:tc>
          <w:tcPr>
            <w:tcW w:type="dxa" w:w="6768"/>
            <w:vAlign w:val="center"/>
            <w:shd w:fill="F4F6F8"/>
          </w:tcPr>
          <w:p>
            <w:pPr>
              <w:spacing w:after="0"/>
            </w:pPr>
            <w:r/>
            <w:r>
              <w:rPr>
                <w:rFonts w:ascii="Carlito" w:hAnsi="Carlito"/>
                <w:b w:val="0"/>
                <w:color w:val="232323"/>
                <w:sz w:val="17"/>
              </w:rPr>
              <w:t>Window identity or SUBJECT for aggregated data</w:t>
            </w:r>
          </w:p>
        </w:tc>
      </w:tr>
      <w:tr>
        <w:trPr>
          <w:cantSplit/>
        </w:trPr>
        <w:tc>
          <w:tcPr>
            <w:tcW w:type="dxa" w:w="3312"/>
            <w:vAlign w:val="center"/>
          </w:tcPr>
          <w:p>
            <w:pPr>
              <w:spacing w:after="0"/>
            </w:pPr>
            <w:r/>
            <w:r>
              <w:rPr>
                <w:rFonts w:ascii="Carlito" w:hAnsi="Carlito"/>
                <w:b w:val="0"/>
                <w:color w:val="232323"/>
                <w:sz w:val="17"/>
              </w:rPr>
              <w:t>feature_family</w:t>
            </w:r>
          </w:p>
        </w:tc>
        <w:tc>
          <w:tcPr>
            <w:tcW w:type="dxa" w:w="6768"/>
            <w:vAlign w:val="center"/>
          </w:tcPr>
          <w:p>
            <w:pPr>
              <w:spacing w:after="0"/>
            </w:pPr>
            <w:r/>
            <w:r>
              <w:rPr>
                <w:rFonts w:ascii="Carlito" w:hAnsi="Carlito"/>
                <w:b w:val="0"/>
                <w:color w:val="232323"/>
                <w:sz w:val="17"/>
              </w:rPr>
              <w:t>RBP / IAF / APERIODIC / SCC / wPLI / ImCoh</w:t>
            </w:r>
          </w:p>
        </w:tc>
      </w:tr>
      <w:tr>
        <w:trPr>
          <w:cantSplit/>
        </w:trPr>
        <w:tc>
          <w:tcPr>
            <w:tcW w:type="dxa" w:w="3312"/>
            <w:vAlign w:val="center"/>
            <w:shd w:fill="F4F6F8"/>
          </w:tcPr>
          <w:p>
            <w:pPr>
              <w:spacing w:after="0"/>
            </w:pPr>
            <w:r/>
            <w:r>
              <w:rPr>
                <w:rFonts w:ascii="Carlito" w:hAnsi="Carlito"/>
                <w:b w:val="0"/>
                <w:color w:val="232323"/>
                <w:sz w:val="17"/>
              </w:rPr>
              <w:t>channel_or_pair</w:t>
            </w:r>
          </w:p>
        </w:tc>
        <w:tc>
          <w:tcPr>
            <w:tcW w:type="dxa" w:w="6768"/>
            <w:vAlign w:val="center"/>
            <w:shd w:fill="F4F6F8"/>
          </w:tcPr>
          <w:p>
            <w:pPr>
              <w:spacing w:after="0"/>
            </w:pPr>
            <w:r/>
            <w:r>
              <w:rPr>
                <w:rFonts w:ascii="Carlito" w:hAnsi="Carlito"/>
                <w:b w:val="0"/>
                <w:color w:val="232323"/>
                <w:sz w:val="17"/>
              </w:rPr>
              <w:t>Electrode or electrode pair</w:t>
            </w:r>
          </w:p>
        </w:tc>
      </w:tr>
      <w:tr>
        <w:trPr>
          <w:cantSplit/>
        </w:trPr>
        <w:tc>
          <w:tcPr>
            <w:tcW w:type="dxa" w:w="3312"/>
            <w:vAlign w:val="center"/>
          </w:tcPr>
          <w:p>
            <w:pPr>
              <w:spacing w:after="0"/>
            </w:pPr>
            <w:r/>
            <w:r>
              <w:rPr>
                <w:rFonts w:ascii="Carlito" w:hAnsi="Carlito"/>
                <w:b w:val="0"/>
                <w:color w:val="232323"/>
                <w:sz w:val="17"/>
              </w:rPr>
              <w:t>band</w:t>
            </w:r>
          </w:p>
        </w:tc>
        <w:tc>
          <w:tcPr>
            <w:tcW w:type="dxa" w:w="6768"/>
            <w:vAlign w:val="center"/>
          </w:tcPr>
          <w:p>
            <w:pPr>
              <w:spacing w:after="0"/>
            </w:pPr>
            <w:r/>
            <w:r>
              <w:rPr>
                <w:rFonts w:ascii="Carlito" w:hAnsi="Carlito"/>
                <w:b w:val="0"/>
                <w:color w:val="232323"/>
                <w:sz w:val="17"/>
              </w:rPr>
              <w:t>Frequency band if applicable</w:t>
            </w:r>
          </w:p>
        </w:tc>
      </w:tr>
      <w:tr>
        <w:trPr>
          <w:cantSplit/>
        </w:trPr>
        <w:tc>
          <w:tcPr>
            <w:tcW w:type="dxa" w:w="3312"/>
            <w:vAlign w:val="center"/>
            <w:shd w:fill="F4F6F8"/>
          </w:tcPr>
          <w:p>
            <w:pPr>
              <w:spacing w:after="0"/>
            </w:pPr>
            <w:r/>
            <w:r>
              <w:rPr>
                <w:rFonts w:ascii="Carlito" w:hAnsi="Carlito"/>
                <w:b w:val="0"/>
                <w:color w:val="232323"/>
                <w:sz w:val="17"/>
              </w:rPr>
              <w:t>value</w:t>
            </w:r>
          </w:p>
        </w:tc>
        <w:tc>
          <w:tcPr>
            <w:tcW w:type="dxa" w:w="6768"/>
            <w:vAlign w:val="center"/>
            <w:shd w:fill="F4F6F8"/>
          </w:tcPr>
          <w:p>
            <w:pPr>
              <w:spacing w:after="0"/>
            </w:pPr>
            <w:r/>
            <w:r>
              <w:rPr>
                <w:rFonts w:ascii="Carlito" w:hAnsi="Carlito"/>
                <w:b w:val="0"/>
                <w:color w:val="232323"/>
                <w:sz w:val="17"/>
              </w:rPr>
              <w:t>Feature value</w:t>
            </w:r>
          </w:p>
        </w:tc>
      </w:tr>
      <w:tr>
        <w:trPr>
          <w:cantSplit/>
        </w:trPr>
        <w:tc>
          <w:tcPr>
            <w:tcW w:type="dxa" w:w="3312"/>
            <w:vAlign w:val="center"/>
          </w:tcPr>
          <w:p>
            <w:pPr>
              <w:spacing w:after="0"/>
            </w:pPr>
            <w:r/>
            <w:r>
              <w:rPr>
                <w:rFonts w:ascii="Carlito" w:hAnsi="Carlito"/>
                <w:b w:val="0"/>
                <w:color w:val="232323"/>
                <w:sz w:val="17"/>
              </w:rPr>
              <w:t>method_version</w:t>
            </w:r>
          </w:p>
        </w:tc>
        <w:tc>
          <w:tcPr>
            <w:tcW w:type="dxa" w:w="6768"/>
            <w:vAlign w:val="center"/>
          </w:tcPr>
          <w:p>
            <w:pPr>
              <w:spacing w:after="0"/>
            </w:pPr>
            <w:r/>
            <w:r>
              <w:rPr>
                <w:rFonts w:ascii="Carlito" w:hAnsi="Carlito"/>
                <w:b w:val="0"/>
                <w:color w:val="232323"/>
                <w:sz w:val="17"/>
              </w:rPr>
              <w:t>Feature implementation/version string</w:t>
            </w:r>
          </w:p>
        </w:tc>
      </w:tr>
      <w:tr>
        <w:trPr>
          <w:cantSplit/>
        </w:trPr>
        <w:tc>
          <w:tcPr>
            <w:tcW w:type="dxa" w:w="3312"/>
            <w:vAlign w:val="center"/>
            <w:shd w:fill="F4F6F8"/>
          </w:tcPr>
          <w:p>
            <w:pPr>
              <w:spacing w:after="0"/>
            </w:pPr>
            <w:r/>
            <w:r>
              <w:rPr>
                <w:rFonts w:ascii="Carlito" w:hAnsi="Carlito"/>
                <w:b w:val="0"/>
                <w:color w:val="232323"/>
                <w:sz w:val="17"/>
              </w:rPr>
              <w:t>qc_flag</w:t>
            </w:r>
          </w:p>
        </w:tc>
        <w:tc>
          <w:tcPr>
            <w:tcW w:type="dxa" w:w="6768"/>
            <w:vAlign w:val="center"/>
            <w:shd w:fill="F4F6F8"/>
          </w:tcPr>
          <w:p>
            <w:pPr>
              <w:spacing w:after="0"/>
            </w:pPr>
            <w:r/>
            <w:r>
              <w:rPr>
                <w:rFonts w:ascii="Carlito" w:hAnsi="Carlito"/>
                <w:b w:val="0"/>
                <w:color w:val="232323"/>
                <w:sz w:val="17"/>
              </w:rPr>
              <w:t>Fit/reliability status</w:t>
            </w:r>
          </w:p>
        </w:tc>
      </w:tr>
    </w:tbl>
    <w:p>
      <w:pPr>
        <w:spacing w:after="0"/>
      </w:pPr>
    </w:p>
    <w:p>
      <w:pPr>
        <w:pStyle w:val="Heading1"/>
        <w:keepNext/>
      </w:pPr>
      <w:r>
        <w:t>Appendix D. Analysis Checklists</w:t>
      </w:r>
    </w:p>
    <w:p>
      <w:pPr>
        <w:pStyle w:val="Heading2"/>
        <w:keepNext/>
      </w:pPr>
      <w:r>
        <w:t>D.1 Before feature extraction</w:t>
      </w:r>
    </w:p>
    <w:p>
      <w:pPr>
        <w:pStyle w:val="ListBullet"/>
        <w:spacing w:after="40"/>
      </w:pPr>
      <w:r>
        <w:rPr>
          <w:rFonts w:ascii="Carlito" w:hAnsi="Carlito"/>
          <w:sz w:val="20"/>
        </w:rPr>
        <w:t>[ ] Dataset version recorded as ds004504 v1.0.9</w:t>
      </w:r>
    </w:p>
    <w:p>
      <w:pPr>
        <w:pStyle w:val="ListBullet"/>
        <w:spacing w:after="40"/>
      </w:pPr>
      <w:r>
        <w:rPr>
          <w:rFonts w:ascii="Carlito" w:hAnsi="Carlito"/>
          <w:sz w:val="20"/>
        </w:rPr>
        <w:t>[ ] 88 unique subjects loaded</w:t>
      </w:r>
    </w:p>
    <w:p>
      <w:pPr>
        <w:pStyle w:val="ListBullet"/>
        <w:spacing w:after="40"/>
      </w:pPr>
      <w:r>
        <w:rPr>
          <w:rFonts w:ascii="Carlito" w:hAnsi="Carlito"/>
          <w:sz w:val="20"/>
        </w:rPr>
        <w:t>[ ] Group counts verified: AD 36, FTD 23, CN 29</w:t>
      </w:r>
    </w:p>
    <w:p>
      <w:pPr>
        <w:pStyle w:val="ListBullet"/>
        <w:spacing w:after="40"/>
      </w:pPr>
      <w:r>
        <w:rPr>
          <w:rFonts w:ascii="Carlito" w:hAnsi="Carlito"/>
          <w:sz w:val="20"/>
        </w:rPr>
        <w:t>[ ] 19 expected channels verified</w:t>
      </w:r>
    </w:p>
    <w:p>
      <w:pPr>
        <w:pStyle w:val="ListBullet"/>
        <w:spacing w:after="40"/>
      </w:pPr>
      <w:r>
        <w:rPr>
          <w:rFonts w:ascii="Carlito" w:hAnsi="Carlito"/>
          <w:sz w:val="20"/>
        </w:rPr>
        <w:t>[ ] Sampling rate checked</w:t>
      </w:r>
    </w:p>
    <w:p>
      <w:pPr>
        <w:pStyle w:val="ListBullet"/>
        <w:spacing w:after="40"/>
      </w:pPr>
      <w:r>
        <w:rPr>
          <w:rFonts w:ascii="Carlito" w:hAnsi="Carlito"/>
          <w:sz w:val="20"/>
        </w:rPr>
        <w:t>[ ] Duration distribution reviewed</w:t>
      </w:r>
    </w:p>
    <w:p>
      <w:pPr>
        <w:pStyle w:val="ListBullet"/>
        <w:spacing w:after="40"/>
      </w:pPr>
      <w:r>
        <w:rPr>
          <w:rFonts w:ascii="Carlito" w:hAnsi="Carlito"/>
          <w:sz w:val="20"/>
        </w:rPr>
        <w:t>[ ] Flat/missing/extreme channels reviewed</w:t>
      </w:r>
    </w:p>
    <w:p>
      <w:pPr>
        <w:pStyle w:val="ListBullet"/>
        <w:spacing w:after="40"/>
      </w:pPr>
      <w:r>
        <w:rPr>
          <w:rFonts w:ascii="Carlito" w:hAnsi="Carlito"/>
          <w:sz w:val="20"/>
        </w:rPr>
        <w:t>[ ] QC exclusions documented</w:t>
      </w:r>
    </w:p>
    <w:p>
      <w:pPr>
        <w:pStyle w:val="Heading2"/>
        <w:keepNext/>
      </w:pPr>
      <w:r>
        <w:t>D.2 Before statistics</w:t>
      </w:r>
    </w:p>
    <w:p>
      <w:pPr>
        <w:pStyle w:val="ListBullet"/>
        <w:spacing w:after="40"/>
      </w:pPr>
      <w:r>
        <w:rPr>
          <w:rFonts w:ascii="Carlito" w:hAnsi="Carlito"/>
          <w:sz w:val="20"/>
        </w:rPr>
        <w:t>[ ] Feature QC completed</w:t>
      </w:r>
    </w:p>
    <w:p>
      <w:pPr>
        <w:pStyle w:val="ListBullet"/>
        <w:spacing w:after="40"/>
      </w:pPr>
      <w:r>
        <w:rPr>
          <w:rFonts w:ascii="Carlito" w:hAnsi="Carlito"/>
          <w:sz w:val="20"/>
        </w:rPr>
        <w:t>[ ] Subject-level aggregation defined</w:t>
      </w:r>
    </w:p>
    <w:p>
      <w:pPr>
        <w:pStyle w:val="ListBullet"/>
        <w:spacing w:after="40"/>
      </w:pPr>
      <w:r>
        <w:rPr>
          <w:rFonts w:ascii="Carlito" w:hAnsi="Carlito"/>
          <w:sz w:val="20"/>
        </w:rPr>
        <w:t>[ ] Hypothesis families defined for FDR</w:t>
      </w:r>
    </w:p>
    <w:p>
      <w:pPr>
        <w:pStyle w:val="ListBullet"/>
        <w:spacing w:after="40"/>
      </w:pPr>
      <w:r>
        <w:rPr>
          <w:rFonts w:ascii="Carlito" w:hAnsi="Carlito"/>
          <w:sz w:val="20"/>
        </w:rPr>
        <w:t>[ ] Primary contrasts fixed</w:t>
      </w:r>
    </w:p>
    <w:p>
      <w:pPr>
        <w:pStyle w:val="ListBullet"/>
        <w:spacing w:after="40"/>
      </w:pPr>
      <w:r>
        <w:rPr>
          <w:rFonts w:ascii="Carlito" w:hAnsi="Carlito"/>
          <w:sz w:val="20"/>
        </w:rPr>
        <w:t>[ ] Effect-size measure fixed</w:t>
      </w:r>
    </w:p>
    <w:p>
      <w:pPr>
        <w:pStyle w:val="ListBullet"/>
        <w:spacing w:after="40"/>
      </w:pPr>
      <w:r>
        <w:rPr>
          <w:rFonts w:ascii="Carlito" w:hAnsi="Carlito"/>
          <w:sz w:val="20"/>
        </w:rPr>
        <w:t>[ ] MMSE primary population fixed (patients)</w:t>
      </w:r>
    </w:p>
    <w:p>
      <w:pPr>
        <w:pStyle w:val="Heading2"/>
        <w:keepNext/>
      </w:pPr>
      <w:r>
        <w:t>D.3 Before ML</w:t>
      </w:r>
    </w:p>
    <w:p>
      <w:pPr>
        <w:pStyle w:val="ListBullet"/>
        <w:spacing w:after="40"/>
      </w:pPr>
      <w:r>
        <w:rPr>
          <w:rFonts w:ascii="Carlito" w:hAnsi="Carlito"/>
          <w:sz w:val="20"/>
        </w:rPr>
        <w:t>[ ] Group key = subject_id</w:t>
      </w:r>
    </w:p>
    <w:p>
      <w:pPr>
        <w:pStyle w:val="ListBullet"/>
        <w:spacing w:after="40"/>
      </w:pPr>
      <w:r>
        <w:rPr>
          <w:rFonts w:ascii="Carlito" w:hAnsi="Carlito"/>
          <w:sz w:val="20"/>
        </w:rPr>
        <w:t>[ ] Outer folds saved</w:t>
      </w:r>
    </w:p>
    <w:p>
      <w:pPr>
        <w:pStyle w:val="ListBullet"/>
        <w:spacing w:after="40"/>
      </w:pPr>
      <w:r>
        <w:rPr>
          <w:rFonts w:ascii="Carlito" w:hAnsi="Carlito"/>
          <w:sz w:val="20"/>
        </w:rPr>
        <w:t>[ ] Inner CV configured</w:t>
      </w:r>
    </w:p>
    <w:p>
      <w:pPr>
        <w:pStyle w:val="ListBullet"/>
        <w:spacing w:after="40"/>
      </w:pPr>
      <w:r>
        <w:rPr>
          <w:rFonts w:ascii="Carlito" w:hAnsi="Carlito"/>
          <w:sz w:val="20"/>
        </w:rPr>
        <w:t>[ ] Scaling inside pipeline</w:t>
      </w:r>
    </w:p>
    <w:p>
      <w:pPr>
        <w:pStyle w:val="ListBullet"/>
        <w:spacing w:after="40"/>
      </w:pPr>
      <w:r>
        <w:rPr>
          <w:rFonts w:ascii="Carlito" w:hAnsi="Carlito"/>
          <w:sz w:val="20"/>
        </w:rPr>
        <w:t>[ ] Imputation inside pipeline</w:t>
      </w:r>
    </w:p>
    <w:p>
      <w:pPr>
        <w:pStyle w:val="ListBullet"/>
        <w:spacing w:after="40"/>
      </w:pPr>
      <w:r>
        <w:rPr>
          <w:rFonts w:ascii="Carlito" w:hAnsi="Carlito"/>
          <w:sz w:val="20"/>
        </w:rPr>
        <w:t>[ ] Feature selection inside inner CV</w:t>
      </w:r>
    </w:p>
    <w:p>
      <w:pPr>
        <w:pStyle w:val="ListBullet"/>
        <w:spacing w:after="40"/>
      </w:pPr>
      <w:r>
        <w:rPr>
          <w:rFonts w:ascii="Carlito" w:hAnsi="Carlito"/>
          <w:sz w:val="20"/>
        </w:rPr>
        <w:t>[ ] Subject-level headline metrics</w:t>
      </w:r>
    </w:p>
    <w:p>
      <w:pPr>
        <w:pStyle w:val="ListBullet"/>
        <w:spacing w:after="40"/>
      </w:pPr>
      <w:r>
        <w:rPr>
          <w:rFonts w:ascii="Carlito" w:hAnsi="Carlito"/>
          <w:sz w:val="20"/>
        </w:rPr>
        <w:t>[ ] Equal-subject weighting strategy documented</w:t>
      </w:r>
    </w:p>
    <w:p>
      <w:pPr>
        <w:pStyle w:val="Heading2"/>
        <w:keepNext/>
      </w:pPr>
      <w:r>
        <w:t>D.4 Before montage optimization</w:t>
      </w:r>
    </w:p>
    <w:p>
      <w:pPr>
        <w:pStyle w:val="ListBullet"/>
        <w:spacing w:after="40"/>
      </w:pPr>
      <w:r>
        <w:rPr>
          <w:rFonts w:ascii="Carlito" w:hAnsi="Carlito"/>
          <w:sz w:val="20"/>
        </w:rPr>
        <w:t>[ ] Robust biomarker set locked</w:t>
      </w:r>
    </w:p>
    <w:p>
      <w:pPr>
        <w:pStyle w:val="ListBullet"/>
        <w:spacing w:after="40"/>
      </w:pPr>
      <w:r>
        <w:rPr>
          <w:rFonts w:ascii="Carlito" w:hAnsi="Carlito"/>
          <w:sz w:val="20"/>
        </w:rPr>
        <w:t>[ ] Minimum viable montage thresholds pre-specified</w:t>
      </w:r>
    </w:p>
    <w:p>
      <w:pPr>
        <w:pStyle w:val="ListBullet"/>
        <w:spacing w:after="40"/>
      </w:pPr>
      <w:r>
        <w:rPr>
          <w:rFonts w:ascii="Carlito" w:hAnsi="Carlito"/>
          <w:sz w:val="20"/>
        </w:rPr>
        <w:t>[ ] Channel selection is nested</w:t>
      </w:r>
    </w:p>
    <w:p>
      <w:pPr>
        <w:pStyle w:val="ListBullet"/>
        <w:spacing w:after="40"/>
      </w:pPr>
      <w:r>
        <w:rPr>
          <w:rFonts w:ascii="Carlito" w:hAnsi="Carlito"/>
          <w:sz w:val="20"/>
        </w:rPr>
        <w:t>[ ] Literature-informed montage defined before results</w:t>
      </w:r>
    </w:p>
    <w:p>
      <w:pPr>
        <w:pStyle w:val="ListBullet"/>
        <w:spacing w:after="40"/>
      </w:pPr>
      <w:r>
        <w:rPr>
          <w:rFonts w:ascii="Carlito" w:hAnsi="Carlito"/>
          <w:sz w:val="20"/>
        </w:rPr>
        <w:t>[ ] Practical montage constraints documented</w:t>
      </w:r>
    </w:p>
    <w:p>
      <w:pPr>
        <w:pStyle w:val="ListBullet"/>
        <w:spacing w:after="40"/>
      </w:pPr>
      <w:r>
        <w:rPr>
          <w:rFonts w:ascii="Carlito" w:hAnsi="Carlito"/>
          <w:sz w:val="20"/>
        </w:rPr>
        <w:t>[ ] Performance + biomarker preservation both reported</w:t>
      </w:r>
    </w:p>
    <w:p>
      <w:pPr>
        <w:pStyle w:val="Heading1"/>
        <w:keepNext/>
      </w:pPr>
      <w:r>
        <w:t>References</w:t>
      </w:r>
    </w:p>
    <w:p>
      <w:pPr>
        <w:spacing w:after="100"/>
        <w:ind w:hanging="360" w:left="360"/>
      </w:pPr>
      <w:r>
        <w:rPr>
          <w:rFonts w:ascii="Carlito" w:hAnsi="Carlito"/>
          <w:sz w:val="18"/>
        </w:rPr>
        <w:t>[1] A. Miltiadous et al., "A dataset of EEG recordings from: Alzheimer's disease, Frontotemporal dementia and Healthy subjects," OpenNeuro dataset ds004504, snapshot v1.0.9. DOI: 10.18112/openneuro.ds004504.v1.0.9.</w:t>
      </w:r>
    </w:p>
    <w:p>
      <w:pPr>
        <w:spacing w:after="100"/>
        <w:ind w:hanging="360" w:left="360"/>
      </w:pPr>
      <w:r>
        <w:rPr>
          <w:rFonts w:ascii="Carlito" w:hAnsi="Carlito"/>
          <w:sz w:val="18"/>
        </w:rPr>
        <w:t>[2] A. Miltiadous, E. Gionanidis, K. D. Tzimourta, N. Giannakeas, and A. T. Tzallas, "DICE-Net: A Novel Convolution-Transformer Architecture for Alzheimer Detection in EEG Signals," IEEE Access, vol. 11, pp. 71840-71858, 2023. DOI: 10.1109/ACCESS.2023.3294618.</w:t>
      </w:r>
    </w:p>
    <w:p>
      <w:pPr>
        <w:spacing w:after="100"/>
        <w:ind w:hanging="360" w:left="360"/>
      </w:pPr>
      <w:r>
        <w:rPr>
          <w:rFonts w:ascii="Carlito" w:hAnsi="Carlito"/>
          <w:sz w:val="18"/>
        </w:rPr>
        <w:t>[3] A. Miltiadous et al., "The AHEPA EEG benchmark: setting the standard for machine learning in dementia diagnosis, a scoping review," Cognitive Neurodynamics, vol. 20, art. 95, 2026. DOI: 10.1007/s11571-026-10464-w.</w:t>
      </w:r>
    </w:p>
    <w:p>
      <w:pPr>
        <w:spacing w:after="100"/>
        <w:ind w:hanging="360" w:left="360"/>
      </w:pPr>
      <w:r>
        <w:rPr>
          <w:rFonts w:ascii="Carlito" w:hAnsi="Carlito"/>
          <w:sz w:val="18"/>
        </w:rPr>
        <w:t>[4] T. Donoghue et al., "Parameterizing neural power spectra into periodic and aperiodic components," Nature Neuroscience, vol. 23, pp. 1655-1665, 2020. DOI: 10.1038/s41593-020-00744-x.</w:t>
      </w:r>
    </w:p>
    <w:p>
      <w:pPr>
        <w:spacing w:after="100"/>
        <w:ind w:hanging="360" w:left="360"/>
      </w:pPr>
      <w:r>
        <w:rPr>
          <w:rFonts w:ascii="Carlito" w:hAnsi="Carlito"/>
          <w:sz w:val="18"/>
        </w:rPr>
        <w:t>[5] M. Vinck, R. Oostenveld, M. van Wingerden, F. Battaglia, and C. M. A. Pennartz, "An improved index of phase-synchronization for electrophysiological data in the presence of volume-conduction, noise and sample-size bias," NeuroImage, vol. 55, no. 4, pp. 1548-1565, 2011. DOI: 10.1016/j.neuroimage.2011.01.055.</w:t>
      </w:r>
    </w:p>
    <w:p>
      <w:pPr>
        <w:spacing w:after="100"/>
        <w:ind w:hanging="360" w:left="360"/>
      </w:pPr>
      <w:r>
        <w:rPr>
          <w:rFonts w:ascii="Carlito" w:hAnsi="Carlito"/>
          <w:sz w:val="18"/>
        </w:rPr>
        <w:t>[6] "Analysis of individual alpha frequency in a large cohort from a tertiary memory center," European Journal of Neurology, 2024. PMID: 39087560.</w:t>
      </w:r>
    </w:p>
    <w:p>
      <w:pPr>
        <w:spacing w:after="100"/>
        <w:ind w:hanging="360" w:left="360"/>
      </w:pPr>
      <w:r>
        <w:rPr>
          <w:rFonts w:ascii="Carlito" w:hAnsi="Carlito"/>
          <w:sz w:val="18"/>
        </w:rPr>
        <w:t>[7] C. Babiloni et al., "Measures of resting state EEG rhythms for clinical trials in Alzheimer's disease: Recommendations of an expert panel," Alzheimer's &amp; Dementia, 2021. PMID: 33860614.</w:t>
      </w:r>
    </w:p>
    <w:p>
      <w:pPr>
        <w:spacing w:after="100"/>
        <w:ind w:hanging="360" w:left="360"/>
      </w:pPr>
      <w:r>
        <w:rPr>
          <w:rFonts w:ascii="Carlito" w:hAnsi="Carlito"/>
          <w:sz w:val="18"/>
        </w:rPr>
        <w:t>[8] M. Kopcanova et al., "Resting-state EEG signatures of Alzheimer's disease are driven by periodic but not aperiodic changes," Neurobiology of Disease, vol. 190, 106380, 2024. DOI: 10.1016/j.nbd.2023.106380.</w:t>
      </w:r>
    </w:p>
    <w:p>
      <w:pPr>
        <w:spacing w:after="100"/>
        <w:ind w:hanging="360" w:left="360"/>
      </w:pPr>
      <w:r>
        <w:rPr>
          <w:rFonts w:ascii="Carlito" w:hAnsi="Carlito"/>
          <w:sz w:val="18"/>
        </w:rPr>
        <w:t>[9] "Resting-state EEG power and connectivity are associated with alpha peak frequency slowing in healthy aging," Neurobiology of Aging, 2018. PMID: 30144647.</w:t>
      </w:r>
    </w:p>
    <w:p>
      <w:pPr>
        <w:spacing w:after="100"/>
        <w:ind w:hanging="360" w:left="360"/>
      </w:pPr>
      <w:r>
        <w:rPr>
          <w:rFonts w:ascii="Carlito" w:hAnsi="Carlito"/>
          <w:sz w:val="18"/>
        </w:rPr>
        <w:t>[10] G. Ozbek et al., "Resting-state EEG alpha/theta power ratio discriminates early-onset Alzheimer's disease from healthy controls," Clinical Neurophysiology, vol. 132, 2021. DOI: 10.1016/j.clinph.2021.05.012.</w:t>
      </w:r>
    </w:p>
    <w:tbl>
      <w:tblPr>
        <w:tblW w:type="auto" w:w="0"/>
        <w:jc w:val="center"/>
        <w:tblLook w:firstColumn="1" w:firstRow="1" w:lastColumn="0" w:lastRow="0" w:noHBand="0" w:noVBand="1" w:val="04A0"/>
      </w:tblPr>
      <w:tblGrid>
        <w:gridCol w:w="9994"/>
      </w:tblGrid>
      <w:tr>
        <w:trPr>
          <w:cantSplit/>
        </w:trPr>
        <w:tc>
          <w:tcPr>
            <w:tcW w:type="dxa" w:w="9994"/>
            <w:shd w:fill="EAF0F8"/>
          </w:tcPr>
          <w:p>
            <w:pPr>
              <w:spacing w:after="40"/>
            </w:pPr>
            <w:r>
              <w:rPr>
                <w:rFonts w:ascii="Carlito" w:hAnsi="Carlito"/>
                <w:b/>
                <w:color w:val="1B3A6B"/>
                <w:sz w:val="20"/>
              </w:rPr>
              <w:t xml:space="preserve">Document status:  </w:t>
            </w:r>
            <w:r>
              <w:rPr>
                <w:rFonts w:ascii="Carlito" w:hAnsi="Carlito"/>
                <w:sz w:val="20"/>
              </w:rPr>
              <w:t>This is a complete execution blueprint, not a frozen statistical protocol. Before final hypothesis testing, convert the chosen thresholds, feature definitions, and primary models into a short pre-analysis plan and lock it in version control.</w:t>
            </w:r>
          </w:p>
        </w:tc>
      </w:tr>
    </w:tbl>
    <w:p>
      <w:pPr>
        <w:spacing w:after="0"/>
      </w:pPr>
    </w:p>
    <w:sectPr w:rsidR="00FC693F" w:rsidRPr="0006063C" w:rsidSect="00034616">
      <w:headerReference w:type="default" r:id="rId9"/>
      <w:footerReference w:type="default" r:id="rId10"/>
      <w:pgSz w:w="12240" w:h="15840"/>
      <w:pgMar w:top="979"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rlito" w:hAnsi="Carlito"/>
        <w:color w:val="5A5A5A"/>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rlito" w:hAnsi="Carlito"/>
        <w:color w:val="5A5A5A"/>
        <w:sz w:val="16"/>
      </w:rPr>
      <w:t>EEG Biomarker Critique + Minimal-Electrode Project  |  Research Documentation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4" w:lineRule="auto"/>
    </w:pPr>
    <w:rPr>
      <w:rFonts w:ascii="Carlito" w:hAnsi="Carlito"/>
      <w:color w:val="2323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rlito" w:hAnsi="Carlito"/>
      <w:b/>
      <w:bCs/>
      <w:color w:val="1B3A6B"/>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rlito" w:hAnsi="Carlito"/>
      <w:b/>
      <w:bCs/>
      <w:color w:val="1B3A6B"/>
      <w:sz w:val="27"/>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rlito" w:hAnsi="Carlito"/>
      <w:b/>
      <w:bCs/>
      <w:color w:val="C975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rlito" w:hAnsi="Carlito"/>
      <w:b/>
      <w:color w:val="1B3A6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10" w:line="254" w:lineRule="auto"/>
    </w:pPr>
    <w:rPr>
      <w:rFonts w:ascii="Carlito" w:hAnsi="Carlito"/>
      <w:color w:val="232323"/>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ind w:left="317" w:right="173"/>
    </w:pPr>
    <w:rPr>
      <w:rFonts w:ascii="DejaVu Sans Mono" w:hAnsi="DejaVu Sans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Critical Evaluation of EEG Biomarkers for Alzheimer's Disease with Minimal-Electrode Machine Learning Optimization</dc:title>
  <dc:subject>Research and engineering project documentation for OpenNeuro ds004504 and DICE-Net biomarker critique</dc:subject>
  <dc:creator>OpenAI</dc:creator>
  <cp:keywords>EEG, Alzheimer, FTD, biomarkers, machine learning, RBP, coherence, wPLI, individual alpha frequency, minimal electrodes</cp:keywords>
  <dc:description>generated by python-docx</dc:description>
  <cp:lastModifiedBy/>
  <cp:revision>1</cp:revision>
  <dcterms:created xsi:type="dcterms:W3CDTF">2013-12-23T23:15:00Z</dcterms:created>
  <dcterms:modified xsi:type="dcterms:W3CDTF">2013-12-23T23:15:00Z</dcterms:modified>
  <cp:category/>
</cp:coreProperties>
</file>