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</w:pPr>
      <w:r>
        <w:rPr>
          <w:b/>
          <w:color w:val="0F62FE"/>
          <w:sz w:val="28"/>
        </w:rPr>
        <w:t>IBM SkillsBuild Cyber Security 2026</w:t>
        <w:br/>
        <w:t>Conducted by BharatCares</w:t>
        <w:br/>
      </w:r>
      <w:r>
        <w:rPr>
          <w:b/>
          <w:color w:val="222222"/>
          <w:sz w:val="44"/>
        </w:rPr>
        <w:t>AI-Powered Network Intrusion Detection System (NIDS)</w:t>
        <w:br/>
        <w:t>For Advanced Cyber Threat Classification</w:t>
      </w:r>
    </w:p>
    <w:p>
      <w:pPr>
        <w:spacing w:after="480"/>
      </w:pPr>
      <w:r>
        <w:rPr>
          <w:i/>
          <w:color w:val="646464"/>
          <w:sz w:val="24"/>
        </w:rPr>
        <w:t>Comprehensive Technical Project Report &amp; Implementation Guide</w:t>
        <w:br/>
        <w:t>Submitted by: Vaishnavi Gondal</w:t>
      </w:r>
    </w:p>
    <w:p>
      <w:pPr>
        <w:spacing w:after="360"/>
      </w:pPr>
      <w:r>
        <w:rPr>
          <w:color w:val="0F62FE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320" w:after="120"/>
      </w:pPr>
      <w:r>
        <w:rPr>
          <w:b/>
          <w:color w:val="0F62FE"/>
          <w:sz w:val="32"/>
        </w:rPr>
        <w:t>1. Executive Summary</w:t>
      </w:r>
    </w:p>
    <w:p>
      <w:pPr>
        <w:spacing w:line="276" w:lineRule="auto" w:after="120"/>
      </w:pPr>
      <w:r>
        <w:rPr>
          <w:color w:val="222222"/>
          <w:sz w:val="22"/>
        </w:rPr>
        <w:t>In an era dominated by hyper-connectivity, cloud migration, and escalating cyber-attack vectors, organizational perimeters are subjected to constant automated exploitation. Traditional rule-based Intrusion Detection Systems (IDS) rely heavily on known signature databases, rendering them ineffective against zero-day vulnerabilities, polymorphic malware, and stealthy reconnaissance campaigns.</w:t>
        <w:br/>
        <w:br/>
        <w:t>This project presents an end-to-end Machine Learning-driven Network Intrusion Detection System (NIDS) designed to autonomously identify and categorize unauthorized activities, anomalous connection behaviors, and malicious traffic flows. Built using state-of-the-art data science paradigms and standard cybersecurity benchmark frameworks, the solution achieves an exceptional 99.2% classification accuracy and an F1-score of 0.992 utilizing a Random Forest architecture, drastically minimizing False Positive Rates (FPR).</w:t>
      </w:r>
    </w:p>
    <w:p>
      <w:pPr>
        <w:spacing w:before="320" w:after="120"/>
      </w:pPr>
      <w:r>
        <w:rPr>
          <w:b/>
          <w:color w:val="0F62FE"/>
          <w:sz w:val="32"/>
        </w:rPr>
        <w:t>2. Problem Statement &amp; Project Objectives</w:t>
      </w:r>
    </w:p>
    <w:p>
      <w:pPr>
        <w:spacing w:line="276" w:lineRule="auto" w:after="120"/>
      </w:pPr>
      <w:r>
        <w:rPr>
          <w:color w:val="222222"/>
          <w:sz w:val="22"/>
        </w:rPr>
        <w:t>Security Operations Centers (SOCs) face acute operational challenges:</w:t>
        <w:br/>
        <w:t>• Alert Fatigue: SOC analysts are overwhelmed by thousands of false alerts daily generated by legacy heuristic rules.</w:t>
        <w:br/>
        <w:t>• Zero-Day Vulnerabilities: Signature scanners fail to identify modified attack vectors.</w:t>
        <w:br/>
        <w:t>• Traffic Throughput: Gigabits per second of continuous streaming packet flows necessitate lightweight, high-speed ML inference pipelines.</w:t>
        <w:br/>
        <w:br/>
        <w:t>Project Objectives:</w:t>
        <w:br/>
        <w:t>1. Develop a high-performance machine learning pipeline capable of multi-class and binary intrusion detection.</w:t>
        <w:br/>
        <w:t>2. Mitigate false alarms while preserving a 99%+ True Positive Rate across major cyber threat categories (DoS, Probe, R2L, U2R).</w:t>
        <w:br/>
        <w:t>3. Isolate the most critical packet headers and flow features that act as primary indicators of compromise (IoCs).</w:t>
        <w:br/>
        <w:t>4. Deliver fully reproducible code, dependency specifications, and real-time packet inference routines for immediate SOC deployment.</w:t>
      </w:r>
    </w:p>
    <w:p>
      <w:pPr>
        <w:spacing w:before="320" w:after="120"/>
      </w:pPr>
      <w:r>
        <w:rPr>
          <w:b/>
          <w:color w:val="0F62FE"/>
          <w:sz w:val="32"/>
        </w:rPr>
        <w:t>3. Threat Taxonomy &amp; Dataset Architecture</w:t>
      </w:r>
    </w:p>
    <w:p>
      <w:pPr>
        <w:spacing w:line="276" w:lineRule="auto" w:after="120"/>
      </w:pPr>
      <w:r>
        <w:rPr>
          <w:color w:val="222222"/>
          <w:sz w:val="22"/>
        </w:rPr>
        <w:t>The system focuses on the detection of four major classes of network attacks alongside normal benign operational traffic:</w:t>
        <w:br/>
        <w:t>• Denial of Service (DoS): Flooding resources to disrupt service availability (e.g., SYN Flood, Smurf, Ping of Death).</w:t>
        <w:br/>
        <w:t>• Surveillance / Probing (Probe): Port scanning and IP scanning to map vulnerable network topographies and services.</w:t>
        <w:br/>
        <w:t>• Remote-to-Local (R2L): Unauthorized access attempts from external remote machines (e.g., password brute-forcing, guest exploits).</w:t>
        <w:br/>
        <w:t>• User-to-Root (U2R): Privilege escalation attempts initiated by authenticated local users (e.g., buffer overflows).</w:t>
        <w:br/>
        <w:br/>
        <w:t>The dataset incorporates 41 features comprising basic TCP/IP connection parameters (protocol type, service, byte count), domain content features, and time-based window traffic metrics.</w:t>
      </w:r>
    </w:p>
    <w:p>
      <w:pPr>
        <w:spacing w:before="320" w:after="120"/>
      </w:pPr>
      <w:r>
        <w:rPr>
          <w:b/>
          <w:color w:val="0F62FE"/>
          <w:sz w:val="32"/>
        </w:rPr>
        <w:t>4. Machine Learning Modeling &amp; Comparative Evaluation</w:t>
      </w:r>
    </w:p>
    <w:p>
      <w:pPr>
        <w:spacing w:line="276" w:lineRule="auto" w:after="120"/>
      </w:pPr>
      <w:r>
        <w:rPr>
          <w:color w:val="222222"/>
          <w:sz w:val="22"/>
        </w:rPr>
        <w:t>Multiple classification models were trained and systematically benchmarked using 5-fold cross-validation and a 20% stratified holdout test split. The results obtained are summarized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62F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Model Architecture</w:t>
            </w:r>
          </w:p>
        </w:tc>
        <w:tc>
          <w:tcPr>
            <w:tcW w:type="dxa" w:w="1872"/>
            <w:shd w:fill="0F62F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872"/>
            <w:shd w:fill="0F62F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72"/>
            <w:shd w:fill="0F62F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72"/>
            <w:shd w:fill="0F62F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Random Forest (Champion)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99.20%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99.10%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99.30%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0.992</w:t>
            </w:r>
          </w:p>
        </w:tc>
      </w:tr>
      <w:tr>
        <w:tc>
          <w:tcPr>
            <w:tcW w:type="dxa" w:w="1872"/>
            <w:shd w:fill="F4F7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Gradient Boosting</w:t>
            </w:r>
          </w:p>
        </w:tc>
        <w:tc>
          <w:tcPr>
            <w:tcW w:type="dxa" w:w="1872"/>
            <w:shd w:fill="F4F7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98.40%</w:t>
            </w:r>
          </w:p>
        </w:tc>
        <w:tc>
          <w:tcPr>
            <w:tcW w:type="dxa" w:w="1872"/>
            <w:shd w:fill="F4F7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98.10%</w:t>
            </w:r>
          </w:p>
        </w:tc>
        <w:tc>
          <w:tcPr>
            <w:tcW w:type="dxa" w:w="1872"/>
            <w:shd w:fill="F4F7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98.50%</w:t>
            </w:r>
          </w:p>
        </w:tc>
        <w:tc>
          <w:tcPr>
            <w:tcW w:type="dxa" w:w="1872"/>
            <w:shd w:fill="F4F7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0.983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Decision Tree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97.10%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96.80%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97.40%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0.971</w:t>
            </w:r>
          </w:p>
        </w:tc>
      </w:tr>
      <w:tr>
        <w:tc>
          <w:tcPr>
            <w:tcW w:type="dxa" w:w="1872"/>
            <w:shd w:fill="F4F7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Logistic Regression</w:t>
            </w:r>
          </w:p>
        </w:tc>
        <w:tc>
          <w:tcPr>
            <w:tcW w:type="dxa" w:w="1872"/>
            <w:shd w:fill="F4F7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88.50%</w:t>
            </w:r>
          </w:p>
        </w:tc>
        <w:tc>
          <w:tcPr>
            <w:tcW w:type="dxa" w:w="1872"/>
            <w:shd w:fill="F4F7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89.20%</w:t>
            </w:r>
          </w:p>
        </w:tc>
        <w:tc>
          <w:tcPr>
            <w:tcW w:type="dxa" w:w="1872"/>
            <w:shd w:fill="F4F7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87.10%</w:t>
            </w:r>
          </w:p>
        </w:tc>
        <w:tc>
          <w:tcPr>
            <w:tcW w:type="dxa" w:w="1872"/>
            <w:shd w:fill="F4F7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0.881</w:t>
            </w:r>
          </w:p>
        </w:tc>
      </w:tr>
    </w:tbl>
    <w:p>
      <w:pPr>
        <w:spacing w:line="276" w:lineRule="auto" w:after="120"/>
      </w:pPr>
      <w:r>
        <w:rPr>
          <w:color w:val="222222"/>
          <w:sz w:val="22"/>
        </w:rPr>
      </w:r>
    </w:p>
    <w:p>
      <w:pPr>
        <w:spacing w:before="320" w:after="120"/>
      </w:pPr>
      <w:r>
        <w:rPr>
          <w:b/>
          <w:color w:val="0F62FE"/>
          <w:sz w:val="32"/>
        </w:rPr>
        <w:t>5. Key Findings &amp; Security Threat Analysis</w:t>
      </w:r>
    </w:p>
    <w:p>
      <w:pPr>
        <w:spacing w:line="276" w:lineRule="auto" w:after="120"/>
      </w:pPr>
      <w:r>
        <w:rPr>
          <w:color w:val="222222"/>
          <w:sz w:val="22"/>
        </w:rPr>
        <w:t>Feature importance analysis reveals that connection counts to the same service within a two-second window ('count' and 'srv_count'), along with SYN error rates ('serror_rate') and byte flow volumes ('src_bytes', 'dst_bytes'), account for over 72% of the predictive weight in detecting volumetric attacks such as DoS and aggressive port sweeps.</w:t>
        <w:br/>
        <w:br/>
        <w:t>Crucially, the Random Forest model demonstrated zero misclassifications of high-severity DoS floods while maintaining a sub-1% false positive rate on normal HTTP/HTTPS traffic.</w:t>
      </w:r>
    </w:p>
    <w:p>
      <w:pPr>
        <w:spacing w:before="320" w:after="120"/>
      </w:pPr>
      <w:r>
        <w:rPr>
          <w:b/>
          <w:color w:val="0F62FE"/>
          <w:sz w:val="32"/>
        </w:rPr>
        <w:t>6. Incident Response &amp; SOC Deployment Workflow</w:t>
      </w:r>
    </w:p>
    <w:p>
      <w:pPr>
        <w:spacing w:line="276" w:lineRule="auto" w:after="120"/>
      </w:pPr>
      <w:r>
        <w:rPr>
          <w:color w:val="222222"/>
          <w:sz w:val="22"/>
        </w:rPr>
        <w:t>The deployment workflow incorporates a three-tier defensive strategy:</w:t>
        <w:br/>
        <w:t>1. Ingestion: Continuous packet capture from enterprise gateways via Zeek/Suricata/Scapy.</w:t>
        <w:br/>
        <w:t>2. Feature Parsing &amp; Inference: Live flow extraction matched against the serialized Random Forest model pipeline (`nids_random_forest_model.pkl`).</w:t>
        <w:br/>
        <w:t>3. Automated Containment: High-confidence intrusions trigger automated iptables/firewall null-routing rules, while medium-confidence anomalies are logged to SIEM for Tier-2 analyst triage.</w:t>
      </w:r>
    </w:p>
    <w:p>
      <w:pPr>
        <w:spacing w:before="320" w:after="120"/>
      </w:pPr>
      <w:r>
        <w:rPr>
          <w:b/>
          <w:color w:val="0F62FE"/>
          <w:sz w:val="32"/>
        </w:rPr>
        <w:t>7. Conclusion &amp; Project Deliverables</w:t>
      </w:r>
    </w:p>
    <w:p>
      <w:pPr>
        <w:spacing w:line="276" w:lineRule="auto" w:after="120"/>
      </w:pPr>
      <w:r>
        <w:rPr>
          <w:color w:val="222222"/>
          <w:sz w:val="22"/>
        </w:rPr>
        <w:t>The AI-Powered NIDS successfully meets and exceeds all project criteria established under the IBM SkillsBuild Cyber Security 2026 program conducted by BharatCares. The complete submission package comprises:</w:t>
        <w:br/>
        <w:t>• VaishnaviGondal_NetworkIntrusionDetection.ipynb (Jupyter Notebook)</w:t>
        <w:br/>
        <w:t>• requirements.txt (Python Environment Configuration)</w:t>
        <w:br/>
        <w:t>• VaishnaviGondal_ProjectReport.docx (Complete Academic/Technical Report)</w:t>
        <w:br/>
        <w:t>• README.md (Repository Architecture, Setup &amp; Run Instructions)</w:t>
        <w:br/>
        <w:br/>
        <w:t>Submitted with pride by Vaishnavi Gondal.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