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12F6E" w14:textId="77777777" w:rsidR="00D30846" w:rsidRPr="00605B4A" w:rsidRDefault="00D30846" w:rsidP="00D30846">
      <w:pPr>
        <w:rPr>
          <w:b/>
          <w:bCs/>
          <w:sz w:val="36"/>
          <w:szCs w:val="36"/>
        </w:rPr>
      </w:pPr>
      <w:r w:rsidRPr="00605B4A">
        <w:rPr>
          <w:b/>
          <w:bCs/>
          <w:sz w:val="36"/>
          <w:szCs w:val="36"/>
        </w:rPr>
        <w:t>Dashboard Design Documentation</w:t>
      </w:r>
    </w:p>
    <w:p w14:paraId="064566C8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Clear and Intuitive Layout:</w:t>
      </w:r>
      <w:r w:rsidRPr="00D30846">
        <w:t xml:space="preserve"> Arrange elements hierarchically. Place the high-level infrastructure metrics (10,164 records, 30 states) in a clean top-row banner, followed by large high-severity KPI metric tiles (118.24 </w:t>
      </w:r>
      <w:proofErr w:type="spellStart"/>
      <w:r w:rsidRPr="00D30846">
        <w:t>Avg</w:t>
      </w:r>
      <w:proofErr w:type="spellEnd"/>
      <w:r w:rsidRPr="00D30846">
        <w:t xml:space="preserve"> AQI vs 499 Max AQI) to anchor immediate user focus. </w:t>
      </w:r>
    </w:p>
    <w:p w14:paraId="2F84B5A3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Use Appropriate Visualizations:</w:t>
      </w:r>
      <w:r w:rsidRPr="00D30846">
        <w:t xml:space="preserve"> Deploy specific chart types mapped to data trends. Use a </w:t>
      </w:r>
      <w:r w:rsidRPr="00D30846">
        <w:rPr>
          <w:b/>
          <w:bCs/>
        </w:rPr>
        <w:t>Horizontal Bar Chart</w:t>
      </w:r>
      <w:r w:rsidRPr="00D30846">
        <w:t xml:space="preserve"> for ranking unexpected mid-sized city hotspots like </w:t>
      </w:r>
      <w:proofErr w:type="spellStart"/>
      <w:r w:rsidRPr="00D30846">
        <w:t>Cuddalore</w:t>
      </w:r>
      <w:proofErr w:type="spellEnd"/>
      <w:r w:rsidRPr="00D30846">
        <w:t xml:space="preserve"> and Karwar, a </w:t>
      </w:r>
      <w:r w:rsidRPr="00D30846">
        <w:rPr>
          <w:b/>
          <w:bCs/>
        </w:rPr>
        <w:t>Line Chart</w:t>
      </w:r>
      <w:r w:rsidRPr="00D30846">
        <w:t xml:space="preserve"> for temporal patterns, and a </w:t>
      </w:r>
      <w:r w:rsidRPr="00D30846">
        <w:rPr>
          <w:b/>
          <w:bCs/>
        </w:rPr>
        <w:t>Donut Chart</w:t>
      </w:r>
      <w:r w:rsidRPr="00D30846">
        <w:t xml:space="preserve"> to isolate PM10 and PM2.5 dominance. </w:t>
      </w:r>
    </w:p>
    <w:p w14:paraId="113903C9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Colour and Theming:</w:t>
      </w:r>
      <w:r w:rsidRPr="00D30846">
        <w:t xml:space="preserve"> Utilize an industry-standard environmental alert theme (Green </w:t>
      </w:r>
    </w:p>
    <w:p w14:paraId="5352FA21" w14:textId="1E0BF139" w:rsidR="00D30846" w:rsidRPr="00D30846" w:rsidRDefault="00D30846" w:rsidP="00D30846">
      <w:r w:rsidRPr="00D30846">
        <w:rPr>
          <w:noProof/>
        </w:rPr>
        <w:drawing>
          <wp:inline distT="0" distB="0" distL="0" distR="0" wp14:anchorId="4F954D9A" wp14:editId="18B976B6">
            <wp:extent cx="9525" cy="9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7647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Interactive Filters and Slicers:</w:t>
      </w:r>
      <w:r w:rsidRPr="00D30846">
        <w:t xml:space="preserve"> Embed interactive multi-select slicers for </w:t>
      </w:r>
      <w:r w:rsidRPr="00D30846">
        <w:rPr>
          <w:b/>
          <w:bCs/>
        </w:rPr>
        <w:t>State</w:t>
      </w:r>
      <w:r w:rsidRPr="00D30846">
        <w:t xml:space="preserve">, </w:t>
      </w:r>
      <w:r w:rsidRPr="00D30846">
        <w:rPr>
          <w:b/>
          <w:bCs/>
        </w:rPr>
        <w:t>City</w:t>
      </w:r>
      <w:r w:rsidRPr="00D30846">
        <w:t xml:space="preserve">, and </w:t>
      </w:r>
      <w:r w:rsidRPr="00D30846">
        <w:rPr>
          <w:b/>
          <w:bCs/>
        </w:rPr>
        <w:t>Pollutant Type</w:t>
      </w:r>
      <w:r w:rsidRPr="00D30846">
        <w:t>. This allows users to filter out gaseous pollutants (SO2, OZONE) and zoom exclusively into dominant particulate matter (PM10, PM2.5). </w:t>
      </w:r>
    </w:p>
    <w:p w14:paraId="379053D7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Drill-Down Capabilities:</w:t>
      </w:r>
      <w:r w:rsidRPr="00D30846">
        <w:t xml:space="preserve"> Configure recursive drill-down hierarchies within the geospatial visuals. Users can click on a high-average state to dive down directly into localized mid-sized city hotspots without cluttering the main page layout. </w:t>
      </w:r>
    </w:p>
    <w:p w14:paraId="36ED34F9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Responsive Design:</w:t>
      </w:r>
      <w:r w:rsidRPr="00D30846">
        <w:t xml:space="preserve"> Keep visuals dynamic and uncluttered. Use precise axis bounds and clear data labels to ensure the dramatic Month 5 anomaly drop (53.59 vs ~140) stands out clearly across any viewing screen size for immediate troubleshooting. </w:t>
      </w:r>
    </w:p>
    <w:p w14:paraId="45161471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Custom Visuals and Icons:</w:t>
      </w:r>
      <w:r w:rsidRPr="00D30846">
        <w:t xml:space="preserve"> Incorporate functional, color-coded health warning icons alongside the main KPI metrics to signal when localized readings move into dangerous, population-wide hazardous bands. </w:t>
      </w:r>
    </w:p>
    <w:p w14:paraId="7B1B00AC" w14:textId="77777777" w:rsidR="00D30846" w:rsidRPr="00D30846" w:rsidRDefault="00D30846" w:rsidP="00D30846">
      <w:pPr>
        <w:numPr>
          <w:ilvl w:val="0"/>
          <w:numId w:val="1"/>
        </w:numPr>
      </w:pPr>
      <w:r w:rsidRPr="00D30846">
        <w:rPr>
          <w:b/>
          <w:bCs/>
        </w:rPr>
        <w:t>Use of Infographics:</w:t>
      </w:r>
      <w:r w:rsidRPr="00D30846">
        <w:t xml:space="preserve"> Integrate a custom AI-driven </w:t>
      </w:r>
      <w:r w:rsidRPr="00D30846">
        <w:rPr>
          <w:b/>
          <w:bCs/>
        </w:rPr>
        <w:t>Decomposition Tree</w:t>
      </w:r>
      <w:r w:rsidRPr="00D30846">
        <w:t xml:space="preserve"> visual block to provide an interactive, infographic-style breakdown showing exactly how specific regional station nodes funnel upward to drive the national average. </w:t>
      </w:r>
    </w:p>
    <w:p w14:paraId="55F5CD94" w14:textId="732FC770" w:rsidR="00D30846" w:rsidRPr="00D30846" w:rsidRDefault="00605B4A" w:rsidP="00D30846">
      <w:r>
        <w:rPr>
          <w:noProof/>
        </w:rPr>
        <w:lastRenderedPageBreak/>
        <w:drawing>
          <wp:inline distT="0" distB="0" distL="0" distR="0" wp14:anchorId="0B031AA3" wp14:editId="01304F41">
            <wp:extent cx="5731510" cy="31908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6A72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A7C0A"/>
    <w:multiLevelType w:val="multilevel"/>
    <w:tmpl w:val="E19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91FC2"/>
    <w:multiLevelType w:val="multilevel"/>
    <w:tmpl w:val="31E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169145">
    <w:abstractNumId w:val="0"/>
  </w:num>
  <w:num w:numId="2" w16cid:durableId="6124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46"/>
    <w:rsid w:val="00605B4A"/>
    <w:rsid w:val="00623F32"/>
    <w:rsid w:val="00632ECF"/>
    <w:rsid w:val="00C63497"/>
    <w:rsid w:val="00D30846"/>
    <w:rsid w:val="00D5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81F8"/>
  <w15:chartTrackingRefBased/>
  <w15:docId w15:val="{EE210677-83F9-41FA-B1FA-CA5B633B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8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9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5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4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25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42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3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902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8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869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0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720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6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94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0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2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74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0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33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16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83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07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0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92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395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74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222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63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4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7934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67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664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160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43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3078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7482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1321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408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734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59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12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169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59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07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36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52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594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733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64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193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2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38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121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53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88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3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33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406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9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96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07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90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878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89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66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640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719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521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07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22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49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31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398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57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684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966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64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680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814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177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36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85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59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299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895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474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71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701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45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0124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4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50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54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48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66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42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541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61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669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579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4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03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61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5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0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3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83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1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1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92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53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6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9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9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6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45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8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9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1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0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2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23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611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5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96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382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891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2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73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6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96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55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32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8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4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75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85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94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632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55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265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0837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35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596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446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630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412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3870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5210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5961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6345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459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4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17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66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613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6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1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1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99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812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47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949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43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54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236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535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971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54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33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79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5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62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035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846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15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31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17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292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538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53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23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71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5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36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140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68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7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131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4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4189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85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018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17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58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467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97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509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30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14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729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41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98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12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138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736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53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086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69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658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856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330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50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299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58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68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7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0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05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6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9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4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4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6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1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16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4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1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7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274</Words>
  <Characters>1563</Characters>
  <Application>Microsoft Office Word</Application>
  <DocSecurity>0</DocSecurity>
  <Lines>13</Lines>
  <Paragraphs>3</Paragraphs>
  <ScaleCrop>false</ScaleCrop>
  <Company>Sri Padmavati Mahila Visvavidyalayam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2026-09-22T09:57:00Z</dcterms:created>
  <dcterms:modified xsi:type="dcterms:W3CDTF">2026-09-22T10:45:00Z</dcterms:modified>
</cp:coreProperties>
</file>