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DA86E" w14:textId="77777777" w:rsidR="00014406" w:rsidRDefault="00014406" w:rsidP="00014406">
      <w:r w:rsidRPr="00014406">
        <w:rPr>
          <w:b/>
          <w:bCs/>
          <w:sz w:val="36"/>
          <w:szCs w:val="36"/>
        </w:rPr>
        <w:t>Power BI Insights &amp; Report Documentation</w:t>
      </w:r>
    </w:p>
    <w:p w14:paraId="23261ABA" w14:textId="77777777" w:rsidR="00014406" w:rsidRDefault="00014406" w:rsidP="00522D1A">
      <w:pPr>
        <w:rPr>
          <w:b/>
          <w:bCs/>
          <w:sz w:val="36"/>
          <w:szCs w:val="36"/>
        </w:rPr>
      </w:pPr>
    </w:p>
    <w:p w14:paraId="2297428C" w14:textId="75AFBB4B" w:rsidR="00014406" w:rsidRDefault="00014406" w:rsidP="00522D1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1B118F7" wp14:editId="063FBE66">
            <wp:extent cx="5731510" cy="3155950"/>
            <wp:effectExtent l="0" t="0" r="2540" b="6350"/>
            <wp:docPr id="2" name="Picture 2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7A97" w14:textId="559E4639" w:rsidR="00014406" w:rsidRDefault="00014406" w:rsidP="00522D1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3F8DDDC" wp14:editId="5E91A647">
            <wp:extent cx="5731510" cy="3204845"/>
            <wp:effectExtent l="0" t="0" r="2540" b="0"/>
            <wp:docPr id="3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58ED" w14:textId="47877B8D" w:rsidR="00014406" w:rsidRDefault="00014406" w:rsidP="00014406"/>
    <w:p w14:paraId="45696642" w14:textId="77777777" w:rsidR="00522D1A" w:rsidRPr="00014406" w:rsidRDefault="00522D1A" w:rsidP="00522D1A">
      <w:pPr>
        <w:rPr>
          <w:b/>
          <w:bCs/>
          <w:sz w:val="28"/>
          <w:szCs w:val="28"/>
        </w:rPr>
      </w:pPr>
      <w:r w:rsidRPr="00014406">
        <w:rPr>
          <w:b/>
          <w:bCs/>
          <w:sz w:val="28"/>
          <w:szCs w:val="28"/>
        </w:rPr>
        <w:t>1. Trends Over Time</w:t>
      </w:r>
    </w:p>
    <w:p w14:paraId="7784C226" w14:textId="77777777" w:rsidR="00522D1A" w:rsidRPr="00522D1A" w:rsidRDefault="00522D1A" w:rsidP="00522D1A">
      <w:pPr>
        <w:numPr>
          <w:ilvl w:val="0"/>
          <w:numId w:val="1"/>
        </w:numPr>
      </w:pPr>
      <w:r w:rsidRPr="00522D1A">
        <w:rPr>
          <w:b/>
          <w:bCs/>
        </w:rPr>
        <w:t>Year-over-Year Volatility:</w:t>
      </w:r>
      <w:r w:rsidRPr="00522D1A">
        <w:t xml:space="preserve"> The chronological trend shows average AQI declining toward </w:t>
      </w:r>
      <w:r w:rsidRPr="00522D1A">
        <w:rPr>
          <w:b/>
          <w:bCs/>
        </w:rPr>
        <w:t>2026</w:t>
      </w:r>
      <w:r w:rsidRPr="00522D1A">
        <w:t xml:space="preserve"> before beginning to climb again in surrounding years, pointing to </w:t>
      </w:r>
      <w:r w:rsidRPr="00522D1A">
        <w:lastRenderedPageBreak/>
        <w:t>either a temporary environmental improvement or an incomplete partial-year data collection effect.</w:t>
      </w:r>
    </w:p>
    <w:p w14:paraId="3B191348" w14:textId="77777777" w:rsidR="00522D1A" w:rsidRPr="00522D1A" w:rsidRDefault="00522D1A" w:rsidP="00522D1A">
      <w:pPr>
        <w:numPr>
          <w:ilvl w:val="0"/>
          <w:numId w:val="1"/>
        </w:numPr>
      </w:pPr>
      <w:r w:rsidRPr="00522D1A">
        <w:rPr>
          <w:b/>
          <w:bCs/>
        </w:rPr>
        <w:t>Intraday Weekday Anomaly:</w:t>
      </w:r>
      <w:r w:rsidRPr="00522D1A">
        <w:t xml:space="preserve"> Daily averages remain consistently high across most days of the week (</w:t>
      </w:r>
      <w:r w:rsidRPr="00522D1A">
        <w:rPr>
          <w:b/>
          <w:bCs/>
        </w:rPr>
        <w:t>139–143</w:t>
      </w:r>
      <w:r w:rsidRPr="00522D1A">
        <w:t xml:space="preserve">). However, a sharp, isolated weekday drop down to </w:t>
      </w:r>
      <w:r w:rsidRPr="00522D1A">
        <w:rPr>
          <w:b/>
          <w:bCs/>
        </w:rPr>
        <w:t>61.28</w:t>
      </w:r>
      <w:r w:rsidRPr="00522D1A">
        <w:t xml:space="preserve"> stands out as an anomaly, likely indicating either a massive data-collection gap or a major localized environmental event like a heavy rain wash or public holiday shutdown.</w:t>
      </w:r>
    </w:p>
    <w:p w14:paraId="4C058527" w14:textId="77777777" w:rsidR="00522D1A" w:rsidRPr="00014406" w:rsidRDefault="00522D1A" w:rsidP="00522D1A">
      <w:pPr>
        <w:rPr>
          <w:b/>
          <w:bCs/>
          <w:sz w:val="28"/>
          <w:szCs w:val="28"/>
        </w:rPr>
      </w:pPr>
      <w:r w:rsidRPr="00014406">
        <w:rPr>
          <w:b/>
          <w:bCs/>
          <w:sz w:val="28"/>
          <w:szCs w:val="28"/>
        </w:rPr>
        <w:t>2. Performance Comparisons</w:t>
      </w:r>
    </w:p>
    <w:p w14:paraId="0AD1F466" w14:textId="77777777" w:rsidR="00522D1A" w:rsidRPr="00522D1A" w:rsidRDefault="00522D1A" w:rsidP="00522D1A">
      <w:pPr>
        <w:numPr>
          <w:ilvl w:val="0"/>
          <w:numId w:val="2"/>
        </w:numPr>
      </w:pPr>
      <w:r w:rsidRPr="00522D1A">
        <w:rPr>
          <w:b/>
          <w:bCs/>
        </w:rPr>
        <w:t>Unexpected State-Level Distribution:</w:t>
      </w:r>
      <w:r w:rsidRPr="00522D1A">
        <w:t xml:space="preserve"> Regional comparisons challenge common assumptions, showing that North-Eastern and Eastern hilly states lead the highest averages. </w:t>
      </w:r>
      <w:r w:rsidRPr="00522D1A">
        <w:rPr>
          <w:b/>
          <w:bCs/>
        </w:rPr>
        <w:t>Sikkim</w:t>
      </w:r>
      <w:r w:rsidRPr="00522D1A">
        <w:t xml:space="preserve"> records the maximum average AQI at </w:t>
      </w:r>
      <w:r w:rsidRPr="00522D1A">
        <w:rPr>
          <w:b/>
          <w:bCs/>
        </w:rPr>
        <w:t>147.80</w:t>
      </w:r>
      <w:r w:rsidRPr="00522D1A">
        <w:t xml:space="preserve">, closely followed by </w:t>
      </w:r>
      <w:r w:rsidRPr="00522D1A">
        <w:rPr>
          <w:b/>
          <w:bCs/>
        </w:rPr>
        <w:t>Jharkhand (141.85)</w:t>
      </w:r>
      <w:r w:rsidRPr="00522D1A">
        <w:t xml:space="preserve"> and </w:t>
      </w:r>
      <w:r w:rsidRPr="00522D1A">
        <w:rPr>
          <w:b/>
          <w:bCs/>
        </w:rPr>
        <w:t>Jammu and Kashmir (138.94)</w:t>
      </w:r>
      <w:r w:rsidRPr="00522D1A">
        <w:t>.</w:t>
      </w:r>
    </w:p>
    <w:p w14:paraId="3399AE9E" w14:textId="77777777" w:rsidR="00522D1A" w:rsidRPr="00522D1A" w:rsidRDefault="00522D1A" w:rsidP="00522D1A">
      <w:pPr>
        <w:numPr>
          <w:ilvl w:val="0"/>
          <w:numId w:val="2"/>
        </w:numPr>
      </w:pPr>
      <w:r w:rsidRPr="00522D1A">
        <w:rPr>
          <w:b/>
          <w:bCs/>
        </w:rPr>
        <w:t>Dispersion Factors by Station:</w:t>
      </w:r>
      <w:r w:rsidRPr="00522D1A">
        <w:t xml:space="preserve"> Atmospheric conditions reveal critical vulnerabilities across tracking stations. </w:t>
      </w:r>
      <w:r w:rsidRPr="00522D1A">
        <w:rPr>
          <w:b/>
          <w:bCs/>
        </w:rPr>
        <w:t>IMD Lodhi Road (Delhi)</w:t>
      </w:r>
      <w:r w:rsidRPr="00522D1A">
        <w:t xml:space="preserve"> records the lowest minimum wind speed at </w:t>
      </w:r>
      <w:r w:rsidRPr="00522D1A">
        <w:rPr>
          <w:b/>
          <w:bCs/>
        </w:rPr>
        <w:t>7.9 km/h</w:t>
      </w:r>
      <w:r w:rsidRPr="00522D1A">
        <w:t xml:space="preserve">, followed closely by </w:t>
      </w:r>
      <w:r w:rsidRPr="00522D1A">
        <w:rPr>
          <w:b/>
          <w:bCs/>
        </w:rPr>
        <w:t xml:space="preserve">ECIL </w:t>
      </w:r>
      <w:proofErr w:type="spellStart"/>
      <w:r w:rsidRPr="00522D1A">
        <w:rPr>
          <w:b/>
          <w:bCs/>
        </w:rPr>
        <w:t>Kapra</w:t>
      </w:r>
      <w:proofErr w:type="spellEnd"/>
      <w:r w:rsidRPr="00522D1A">
        <w:rPr>
          <w:b/>
          <w:bCs/>
        </w:rPr>
        <w:t xml:space="preserve"> (8.8 km/h)</w:t>
      </w:r>
      <w:r w:rsidRPr="00522D1A">
        <w:t>. These low velocities directly restrict natural air dispersion, trapping particulate matter locally.</w:t>
      </w:r>
    </w:p>
    <w:p w14:paraId="29CCBAC4" w14:textId="77777777" w:rsidR="00522D1A" w:rsidRPr="00014406" w:rsidRDefault="00522D1A" w:rsidP="00522D1A">
      <w:pPr>
        <w:rPr>
          <w:b/>
          <w:bCs/>
          <w:sz w:val="28"/>
          <w:szCs w:val="28"/>
        </w:rPr>
      </w:pPr>
      <w:r w:rsidRPr="00014406">
        <w:rPr>
          <w:b/>
          <w:bCs/>
          <w:sz w:val="28"/>
          <w:szCs w:val="28"/>
        </w:rPr>
        <w:t>3. Pollutant &amp; Data Segmentation</w:t>
      </w:r>
    </w:p>
    <w:p w14:paraId="20E69EDA" w14:textId="77777777" w:rsidR="00522D1A" w:rsidRPr="00522D1A" w:rsidRDefault="00522D1A" w:rsidP="00522D1A">
      <w:pPr>
        <w:numPr>
          <w:ilvl w:val="0"/>
          <w:numId w:val="3"/>
        </w:numPr>
      </w:pPr>
      <w:r w:rsidRPr="00522D1A">
        <w:rPr>
          <w:b/>
          <w:bCs/>
        </w:rPr>
        <w:t>Balanced Seasonal Base:</w:t>
      </w:r>
      <w:r w:rsidRPr="00522D1A">
        <w:t xml:space="preserve"> The dataset ensures highly reliable baseline integrity, with tracking metrics evenly split across all four core seasons: </w:t>
      </w:r>
      <w:r w:rsidRPr="00522D1A">
        <w:rPr>
          <w:b/>
          <w:bCs/>
        </w:rPr>
        <w:t>Summer (25.7%)</w:t>
      </w:r>
      <w:r w:rsidRPr="00522D1A">
        <w:t xml:space="preserve">, </w:t>
      </w:r>
      <w:r w:rsidRPr="00522D1A">
        <w:rPr>
          <w:b/>
          <w:bCs/>
        </w:rPr>
        <w:t>Winter (24.94%)</w:t>
      </w:r>
      <w:r w:rsidRPr="00522D1A">
        <w:t xml:space="preserve">, </w:t>
      </w:r>
      <w:r w:rsidRPr="00522D1A">
        <w:rPr>
          <w:b/>
          <w:bCs/>
        </w:rPr>
        <w:t>Autumn (24.89%)</w:t>
      </w:r>
      <w:r w:rsidRPr="00522D1A">
        <w:t xml:space="preserve">, and </w:t>
      </w:r>
      <w:r w:rsidRPr="00522D1A">
        <w:rPr>
          <w:b/>
          <w:bCs/>
        </w:rPr>
        <w:t>Spring (24.48%)</w:t>
      </w:r>
      <w:r w:rsidRPr="00522D1A">
        <w:t>.</w:t>
      </w:r>
    </w:p>
    <w:p w14:paraId="4A68D4C8" w14:textId="77777777" w:rsidR="00522D1A" w:rsidRPr="00522D1A" w:rsidRDefault="00522D1A" w:rsidP="00522D1A">
      <w:pPr>
        <w:numPr>
          <w:ilvl w:val="0"/>
          <w:numId w:val="3"/>
        </w:numPr>
      </w:pPr>
      <w:r w:rsidRPr="00522D1A">
        <w:rPr>
          <w:b/>
          <w:bCs/>
        </w:rPr>
        <w:t>Particulate Component Dominance:</w:t>
      </w:r>
      <w:r w:rsidRPr="00522D1A">
        <w:t xml:space="preserve"> Segmenting measurements by specific chemical parameters confirms that </w:t>
      </w:r>
      <w:r w:rsidRPr="00522D1A">
        <w:rPr>
          <w:b/>
          <w:bCs/>
        </w:rPr>
        <w:t>PM10</w:t>
      </w:r>
      <w:r w:rsidRPr="00522D1A">
        <w:t xml:space="preserve"> and </w:t>
      </w:r>
      <w:r w:rsidRPr="00522D1A">
        <w:rPr>
          <w:b/>
          <w:bCs/>
        </w:rPr>
        <w:t>PM2.5</w:t>
      </w:r>
      <w:r w:rsidRPr="00522D1A">
        <w:t xml:space="preserve"> maintain the highest average concentrations across all four seasons. Secondary gaseous pollutants like CO, NO2, and OZONE display visible seasonal swings but stay below particulate volumes.</w:t>
      </w:r>
    </w:p>
    <w:p w14:paraId="32B7D05A" w14:textId="77777777" w:rsidR="00522D1A" w:rsidRPr="00014406" w:rsidRDefault="00522D1A" w:rsidP="00522D1A">
      <w:pPr>
        <w:rPr>
          <w:b/>
          <w:bCs/>
          <w:sz w:val="28"/>
          <w:szCs w:val="28"/>
        </w:rPr>
      </w:pPr>
      <w:r w:rsidRPr="00014406">
        <w:rPr>
          <w:b/>
          <w:bCs/>
          <w:sz w:val="28"/>
          <w:szCs w:val="28"/>
        </w:rPr>
        <w:t>4. Strategic Recommendations / Goal Achievement</w:t>
      </w:r>
    </w:p>
    <w:p w14:paraId="50C0E26A" w14:textId="77777777" w:rsidR="00522D1A" w:rsidRPr="00522D1A" w:rsidRDefault="00522D1A" w:rsidP="00522D1A">
      <w:pPr>
        <w:numPr>
          <w:ilvl w:val="0"/>
          <w:numId w:val="4"/>
        </w:numPr>
      </w:pPr>
      <w:r w:rsidRPr="00522D1A">
        <w:rPr>
          <w:b/>
          <w:bCs/>
        </w:rPr>
        <w:t>Targeted Environmental Actions:</w:t>
      </w:r>
      <w:r w:rsidRPr="00522D1A">
        <w:t xml:space="preserve"> Deploy micro-level public health advisories targeting high-risk stagnant zones identified during low-wind speeds at stations like Vivek Vihar and Lodhi Road.</w:t>
      </w:r>
    </w:p>
    <w:p w14:paraId="12BACE8F" w14:textId="77777777" w:rsidR="00522D1A" w:rsidRPr="00522D1A" w:rsidRDefault="00522D1A" w:rsidP="00522D1A">
      <w:pPr>
        <w:numPr>
          <w:ilvl w:val="0"/>
          <w:numId w:val="4"/>
        </w:numPr>
      </w:pPr>
      <w:r w:rsidRPr="00522D1A">
        <w:rPr>
          <w:b/>
          <w:bCs/>
        </w:rPr>
        <w:t>Data Verification Pipeline:</w:t>
      </w:r>
      <w:r w:rsidRPr="00522D1A">
        <w:t xml:space="preserve"> Prioritize data-cleaning passes over the anomalous </w:t>
      </w:r>
      <w:r w:rsidRPr="00522D1A">
        <w:rPr>
          <w:b/>
          <w:bCs/>
        </w:rPr>
        <w:t>Month 5</w:t>
      </w:r>
      <w:r w:rsidRPr="00522D1A">
        <w:t xml:space="preserve"> and the specific </w:t>
      </w:r>
      <w:r w:rsidRPr="00522D1A">
        <w:rPr>
          <w:b/>
          <w:bCs/>
        </w:rPr>
        <w:t>61.28 AQI weekday drop</w:t>
      </w:r>
      <w:r w:rsidRPr="00522D1A">
        <w:t xml:space="preserve"> to confirm database reporting integrity before utilizing these trends for long-term policy decisions.</w:t>
      </w:r>
    </w:p>
    <w:p w14:paraId="10CB0CB0" w14:textId="14A4DA05" w:rsidR="00C63497" w:rsidRDefault="00C63497"/>
    <w:sectPr w:rsidR="00C6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75FCA" w14:textId="77777777" w:rsidR="00306B68" w:rsidRDefault="00306B68" w:rsidP="00014406">
      <w:pPr>
        <w:spacing w:after="0" w:line="240" w:lineRule="auto"/>
      </w:pPr>
      <w:r>
        <w:separator/>
      </w:r>
    </w:p>
  </w:endnote>
  <w:endnote w:type="continuationSeparator" w:id="0">
    <w:p w14:paraId="79557388" w14:textId="77777777" w:rsidR="00306B68" w:rsidRDefault="00306B68" w:rsidP="00014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DC12F" w14:textId="77777777" w:rsidR="00306B68" w:rsidRDefault="00306B68" w:rsidP="00014406">
      <w:pPr>
        <w:spacing w:after="0" w:line="240" w:lineRule="auto"/>
      </w:pPr>
      <w:r>
        <w:separator/>
      </w:r>
    </w:p>
  </w:footnote>
  <w:footnote w:type="continuationSeparator" w:id="0">
    <w:p w14:paraId="7750B8F4" w14:textId="77777777" w:rsidR="00306B68" w:rsidRDefault="00306B68" w:rsidP="00014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B511D"/>
    <w:multiLevelType w:val="multilevel"/>
    <w:tmpl w:val="113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D6B3E"/>
    <w:multiLevelType w:val="multilevel"/>
    <w:tmpl w:val="021A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14025"/>
    <w:multiLevelType w:val="multilevel"/>
    <w:tmpl w:val="1DD0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C041B"/>
    <w:multiLevelType w:val="multilevel"/>
    <w:tmpl w:val="6A4C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E7220"/>
    <w:multiLevelType w:val="multilevel"/>
    <w:tmpl w:val="1976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825773">
    <w:abstractNumId w:val="2"/>
  </w:num>
  <w:num w:numId="2" w16cid:durableId="2074279976">
    <w:abstractNumId w:val="4"/>
  </w:num>
  <w:num w:numId="3" w16cid:durableId="1389110921">
    <w:abstractNumId w:val="1"/>
  </w:num>
  <w:num w:numId="4" w16cid:durableId="1057701969">
    <w:abstractNumId w:val="0"/>
  </w:num>
  <w:num w:numId="5" w16cid:durableId="112528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1A"/>
    <w:rsid w:val="00014406"/>
    <w:rsid w:val="00306B68"/>
    <w:rsid w:val="00522D1A"/>
    <w:rsid w:val="00623F32"/>
    <w:rsid w:val="00880903"/>
    <w:rsid w:val="00BF5CA2"/>
    <w:rsid w:val="00C6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22AF"/>
  <w15:chartTrackingRefBased/>
  <w15:docId w15:val="{628EE807-D189-4696-BD04-DFB42D064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D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4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406"/>
  </w:style>
  <w:style w:type="paragraph" w:styleId="Footer">
    <w:name w:val="footer"/>
    <w:basedOn w:val="Normal"/>
    <w:link w:val="FooterChar"/>
    <w:uiPriority w:val="99"/>
    <w:unhideWhenUsed/>
    <w:rsid w:val="000144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81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78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43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32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522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369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6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5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9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83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8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73451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32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039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8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001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6905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9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0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3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5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70141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90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3520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2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972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61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65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12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347</Words>
  <Characters>1978</Characters>
  <Application>Microsoft Office Word</Application>
  <DocSecurity>0</DocSecurity>
  <Lines>16</Lines>
  <Paragraphs>4</Paragraphs>
  <ScaleCrop>false</ScaleCrop>
  <Company>Sri Padmavati Mahila Visvavidyalayam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2026-09-22T10:04:00Z</dcterms:created>
  <dcterms:modified xsi:type="dcterms:W3CDTF">2026-09-22T10:50:00Z</dcterms:modified>
</cp:coreProperties>
</file>