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78DCC" w14:textId="77777777" w:rsidR="005378B9" w:rsidRDefault="00CF678A">
      <w:pPr>
        <w:rPr>
          <w:rFonts w:ascii="Roboto" w:eastAsia="Times New Roman" w:hAnsi="Roboto"/>
        </w:rPr>
      </w:pPr>
      <w:r>
        <w:rPr>
          <w:rFonts w:ascii="Roboto" w:eastAsia="Times New Roman" w:hAnsi="Roboto"/>
        </w:rPr>
        <w:t xml:space="preserve">An </w:t>
      </w:r>
      <w:r>
        <w:rPr>
          <w:rStyle w:val="Strong"/>
          <w:rFonts w:ascii="Roboto" w:eastAsia="Times New Roman" w:hAnsi="Roboto"/>
          <w:b w:val="0"/>
          <w:bCs w:val="0"/>
        </w:rPr>
        <w:t>Individual Case Safety Report (ICSR)</w:t>
      </w:r>
      <w:r>
        <w:rPr>
          <w:rFonts w:ascii="Roboto" w:eastAsia="Times New Roman" w:hAnsi="Roboto"/>
        </w:rPr>
        <w:t xml:space="preserve"> </w:t>
      </w:r>
    </w:p>
    <w:p w14:paraId="0A1BBA28" w14:textId="77777777" w:rsidR="00026663" w:rsidRDefault="0030319E">
      <w:pPr>
        <w:rPr>
          <w:rFonts w:ascii="Roboto" w:eastAsia="Times New Roman" w:hAnsi="Roboto"/>
        </w:rPr>
      </w:pPr>
      <w:r>
        <w:rPr>
          <w:rFonts w:ascii="Roboto" w:eastAsia="Times New Roman" w:hAnsi="Roboto"/>
        </w:rPr>
        <w:t xml:space="preserve">Individual Case Safety Report (ICSR) </w:t>
      </w:r>
      <w:r w:rsidR="00CF678A">
        <w:rPr>
          <w:rFonts w:ascii="Roboto" w:eastAsia="Times New Roman" w:hAnsi="Roboto"/>
        </w:rPr>
        <w:t xml:space="preserve">is a core document in </w:t>
      </w:r>
      <w:r w:rsidR="00CF678A">
        <w:rPr>
          <w:rStyle w:val="Strong"/>
          <w:rFonts w:ascii="Roboto" w:eastAsia="Times New Roman" w:hAnsi="Roboto"/>
          <w:b w:val="0"/>
          <w:bCs w:val="0"/>
        </w:rPr>
        <w:t>pharmacovigilance</w:t>
      </w:r>
      <w:r w:rsidR="00CF678A">
        <w:rPr>
          <w:rFonts w:ascii="Roboto" w:eastAsia="Times New Roman" w:hAnsi="Roboto"/>
        </w:rPr>
        <w:t xml:space="preserve">. It records a suspected </w:t>
      </w:r>
      <w:r w:rsidR="00CF678A">
        <w:rPr>
          <w:rStyle w:val="Strong"/>
          <w:rFonts w:ascii="Roboto" w:eastAsia="Times New Roman" w:hAnsi="Roboto"/>
        </w:rPr>
        <w:t>Adverse Drug Reaction (ADR)</w:t>
      </w:r>
      <w:r w:rsidR="00CF678A">
        <w:rPr>
          <w:rFonts w:ascii="Roboto" w:eastAsia="Times New Roman" w:hAnsi="Roboto"/>
        </w:rPr>
        <w:t xml:space="preserve"> for an individual patient. Drug Safety Associates evaluate these reports to safeguard public health.</w:t>
      </w:r>
    </w:p>
    <w:p w14:paraId="4EE2BF5F" w14:textId="385E0612" w:rsidR="00026663" w:rsidRPr="00026663" w:rsidRDefault="00026663">
      <w:pPr>
        <w:rPr>
          <w:rFonts w:ascii="Roboto" w:eastAsia="Times New Roman" w:hAnsi="Roboto"/>
          <w:sz w:val="36"/>
          <w:szCs w:val="36"/>
        </w:rPr>
      </w:pPr>
      <w:r w:rsidRPr="00026663">
        <w:rPr>
          <w:rFonts w:ascii="Roboto" w:eastAsia="Times New Roman" w:hAnsi="Roboto"/>
          <w:b/>
          <w:bCs/>
          <w:sz w:val="36"/>
          <w:szCs w:val="36"/>
        </w:rPr>
        <w:t>Four Validation Criteria</w:t>
      </w:r>
    </w:p>
    <w:p w14:paraId="6BD477A0" w14:textId="77777777" w:rsidR="00026663" w:rsidRDefault="00026663">
      <w:pPr>
        <w:rPr>
          <w:rFonts w:ascii="Roboto" w:eastAsia="Times New Roman" w:hAnsi="Roboto"/>
        </w:rPr>
      </w:pPr>
      <w:r>
        <w:rPr>
          <w:rFonts w:ascii="Roboto" w:eastAsia="Times New Roman" w:hAnsi="Roboto"/>
        </w:rPr>
        <w:t xml:space="preserve">According to guidelines detailed on </w:t>
      </w:r>
      <w:hyperlink r:id="rId5" w:tgtFrame="_blank" w:history="1">
        <w:r>
          <w:rPr>
            <w:rStyle w:val="Hyperlink"/>
            <w:rFonts w:ascii="Roboto" w:eastAsia="Times New Roman" w:hAnsi="Roboto"/>
          </w:rPr>
          <w:t>CLINI INDIA</w:t>
        </w:r>
      </w:hyperlink>
      <w:r>
        <w:rPr>
          <w:rFonts w:ascii="Roboto" w:eastAsia="Times New Roman" w:hAnsi="Roboto"/>
        </w:rPr>
        <w:t>, a report must contain four specific elements to be considered legally valid:</w:t>
      </w:r>
    </w:p>
    <w:p w14:paraId="50FE2657" w14:textId="77777777" w:rsidR="00026663" w:rsidRDefault="00026663">
      <w:pPr>
        <w:pStyle w:val="z1qcye"/>
        <w:numPr>
          <w:ilvl w:val="0"/>
          <w:numId w:val="1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>
        <w:rPr>
          <w:rStyle w:val="Strong"/>
          <w:rFonts w:ascii="Roboto" w:eastAsia="Times New Roman" w:hAnsi="Roboto"/>
        </w:rPr>
        <w:t>Identifiable patient:</w:t>
      </w:r>
      <w:r>
        <w:rPr>
          <w:rStyle w:val="inqyif"/>
          <w:rFonts w:ascii="Roboto" w:eastAsia="Times New Roman" w:hAnsi="Roboto"/>
        </w:rPr>
        <w:t xml:space="preserve"> Initials, age, or gender.</w:t>
      </w:r>
    </w:p>
    <w:p w14:paraId="440BD0A2" w14:textId="77777777" w:rsidR="00A124BA" w:rsidRDefault="00A124BA" w:rsidP="00A124BA">
      <w:pPr>
        <w:pStyle w:val="z1qcye"/>
        <w:spacing w:before="0" w:beforeAutospacing="0" w:after="0" w:afterAutospacing="0"/>
        <w:ind w:left="720"/>
        <w:rPr>
          <w:rFonts w:ascii="Roboto" w:eastAsia="Times New Roman" w:hAnsi="Roboto"/>
        </w:rPr>
      </w:pPr>
    </w:p>
    <w:p w14:paraId="4111C321" w14:textId="77777777" w:rsidR="00026663" w:rsidRDefault="00026663">
      <w:pPr>
        <w:pStyle w:val="z1qcye"/>
        <w:numPr>
          <w:ilvl w:val="0"/>
          <w:numId w:val="1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>
        <w:rPr>
          <w:rStyle w:val="Strong"/>
          <w:rFonts w:ascii="Roboto" w:eastAsia="Times New Roman" w:hAnsi="Roboto"/>
        </w:rPr>
        <w:t>Identifiable reporter:</w:t>
      </w:r>
      <w:r>
        <w:rPr>
          <w:rStyle w:val="inqyif"/>
          <w:rFonts w:ascii="Roboto" w:eastAsia="Times New Roman" w:hAnsi="Roboto"/>
        </w:rPr>
        <w:t xml:space="preserve"> A healthcare professional or consumer.</w:t>
      </w:r>
    </w:p>
    <w:p w14:paraId="527C0DFA" w14:textId="77777777" w:rsidR="00A124BA" w:rsidRDefault="00A124BA" w:rsidP="00A124BA">
      <w:pPr>
        <w:pStyle w:val="z1qcye"/>
        <w:spacing w:before="0" w:beforeAutospacing="0" w:after="0" w:afterAutospacing="0"/>
        <w:rPr>
          <w:rFonts w:ascii="Roboto" w:eastAsia="Times New Roman" w:hAnsi="Roboto"/>
        </w:rPr>
      </w:pPr>
    </w:p>
    <w:p w14:paraId="61779590" w14:textId="77777777" w:rsidR="00026663" w:rsidRDefault="00026663">
      <w:pPr>
        <w:pStyle w:val="z1qcye"/>
        <w:numPr>
          <w:ilvl w:val="0"/>
          <w:numId w:val="1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>
        <w:rPr>
          <w:rStyle w:val="Strong"/>
          <w:rFonts w:ascii="Roboto" w:eastAsia="Times New Roman" w:hAnsi="Roboto"/>
        </w:rPr>
        <w:t>Suspected drug:</w:t>
      </w:r>
      <w:r>
        <w:rPr>
          <w:rStyle w:val="inqyif"/>
          <w:rFonts w:ascii="Roboto" w:eastAsia="Times New Roman" w:hAnsi="Roboto"/>
        </w:rPr>
        <w:t xml:space="preserve"> The specific medicinal product.</w:t>
      </w:r>
    </w:p>
    <w:p w14:paraId="50B17977" w14:textId="77777777" w:rsidR="00A124BA" w:rsidRDefault="00A124BA" w:rsidP="00A124BA">
      <w:pPr>
        <w:pStyle w:val="z1qcye"/>
        <w:spacing w:before="0" w:beforeAutospacing="0" w:after="0" w:afterAutospacing="0"/>
        <w:rPr>
          <w:rFonts w:ascii="Roboto" w:eastAsia="Times New Roman" w:hAnsi="Roboto"/>
        </w:rPr>
      </w:pPr>
    </w:p>
    <w:p w14:paraId="43B1A794" w14:textId="77777777" w:rsidR="00026663" w:rsidRDefault="00026663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Strong"/>
          <w:rFonts w:ascii="Roboto" w:eastAsia="Times New Roman" w:hAnsi="Roboto"/>
        </w:rPr>
        <w:t>Adverse event:</w:t>
      </w:r>
      <w:r>
        <w:rPr>
          <w:rStyle w:val="inqyif"/>
          <w:rFonts w:ascii="Roboto" w:eastAsia="Times New Roman" w:hAnsi="Roboto"/>
        </w:rPr>
        <w:t xml:space="preserve"> The exact signs or symptoms</w:t>
      </w:r>
    </w:p>
    <w:p w14:paraId="5BAAF182" w14:textId="77777777" w:rsidR="003174EF" w:rsidRDefault="003174EF">
      <w:pPr>
        <w:rPr>
          <w:rFonts w:ascii="Roboto" w:eastAsia="Times New Roman" w:hAnsi="Roboto"/>
          <w:b/>
          <w:bCs/>
          <w:sz w:val="30"/>
          <w:szCs w:val="30"/>
        </w:rPr>
      </w:pPr>
    </w:p>
    <w:p w14:paraId="6E752154" w14:textId="01BD7129" w:rsidR="00A95EEA" w:rsidRPr="003174EF" w:rsidRDefault="00A95EEA">
      <w:pPr>
        <w:rPr>
          <w:rFonts w:ascii="Roboto" w:eastAsia="Times New Roman" w:hAnsi="Roboto"/>
          <w:b/>
          <w:bCs/>
          <w:kern w:val="0"/>
          <w:sz w:val="36"/>
          <w:szCs w:val="36"/>
          <w14:ligatures w14:val="none"/>
        </w:rPr>
      </w:pPr>
      <w:r w:rsidRPr="003174EF">
        <w:rPr>
          <w:rFonts w:ascii="Roboto" w:eastAsia="Times New Roman" w:hAnsi="Roboto"/>
          <w:b/>
          <w:bCs/>
          <w:sz w:val="36"/>
          <w:szCs w:val="36"/>
        </w:rPr>
        <w:t>Core Processing Workflow</w:t>
      </w:r>
    </w:p>
    <w:p w14:paraId="1E8C9631" w14:textId="77777777" w:rsidR="00A95EEA" w:rsidRDefault="00A95EEA" w:rsidP="00A95EEA">
      <w:pPr>
        <w:pStyle w:val="z1qcye"/>
        <w:numPr>
          <w:ilvl w:val="0"/>
          <w:numId w:val="2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>
        <w:rPr>
          <w:rStyle w:val="Strong"/>
          <w:rFonts w:ascii="Roboto" w:eastAsia="Times New Roman" w:hAnsi="Roboto"/>
        </w:rPr>
        <w:t>Case Intake:</w:t>
      </w:r>
      <w:r>
        <w:rPr>
          <w:rStyle w:val="inqyif"/>
          <w:rFonts w:ascii="Roboto" w:eastAsia="Times New Roman" w:hAnsi="Roboto"/>
        </w:rPr>
        <w:t xml:space="preserve"> Gathering documentation from clinical trials or spontaneous real-world sources.</w:t>
      </w:r>
    </w:p>
    <w:p w14:paraId="3FC9E0C1" w14:textId="77777777" w:rsidR="003174EF" w:rsidRDefault="003174EF" w:rsidP="00A124BA">
      <w:pPr>
        <w:pStyle w:val="z1qcye"/>
        <w:spacing w:before="0" w:beforeAutospacing="0" w:after="0" w:afterAutospacing="0"/>
        <w:ind w:left="720"/>
        <w:rPr>
          <w:rFonts w:ascii="Roboto" w:eastAsia="Times New Roman" w:hAnsi="Roboto"/>
        </w:rPr>
      </w:pPr>
    </w:p>
    <w:p w14:paraId="126AA740" w14:textId="77777777" w:rsidR="00A95EEA" w:rsidRDefault="00A95EEA" w:rsidP="00A95EEA">
      <w:pPr>
        <w:pStyle w:val="z1qcye"/>
        <w:numPr>
          <w:ilvl w:val="0"/>
          <w:numId w:val="2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>
        <w:rPr>
          <w:rStyle w:val="Strong"/>
          <w:rFonts w:ascii="Roboto" w:eastAsia="Times New Roman" w:hAnsi="Roboto"/>
        </w:rPr>
        <w:t>Triage &amp; Priority:</w:t>
      </w:r>
      <w:r>
        <w:rPr>
          <w:rStyle w:val="inqyif"/>
          <w:rFonts w:ascii="Roboto" w:eastAsia="Times New Roman" w:hAnsi="Roboto"/>
        </w:rPr>
        <w:t xml:space="preserve"> Reviewing the initial safety data to identify urgent reports.</w:t>
      </w:r>
    </w:p>
    <w:p w14:paraId="6CBC1077" w14:textId="77777777" w:rsidR="003174EF" w:rsidRDefault="003174EF" w:rsidP="00A124BA">
      <w:pPr>
        <w:pStyle w:val="z1qcye"/>
        <w:spacing w:before="0" w:beforeAutospacing="0" w:after="0" w:afterAutospacing="0"/>
        <w:ind w:left="720"/>
        <w:rPr>
          <w:rFonts w:ascii="Roboto" w:eastAsia="Times New Roman" w:hAnsi="Roboto"/>
        </w:rPr>
      </w:pPr>
    </w:p>
    <w:p w14:paraId="209F06BD" w14:textId="77777777" w:rsidR="00A95EEA" w:rsidRDefault="00A95EEA" w:rsidP="00A95EEA">
      <w:pPr>
        <w:pStyle w:val="z1qcye"/>
        <w:numPr>
          <w:ilvl w:val="0"/>
          <w:numId w:val="2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>
        <w:rPr>
          <w:rStyle w:val="Strong"/>
          <w:rFonts w:ascii="Roboto" w:eastAsia="Times New Roman" w:hAnsi="Roboto"/>
        </w:rPr>
        <w:t>Data Entry &amp; Coding:</w:t>
      </w:r>
      <w:r>
        <w:rPr>
          <w:rStyle w:val="inqyif"/>
          <w:rFonts w:ascii="Roboto" w:eastAsia="Times New Roman" w:hAnsi="Roboto"/>
        </w:rPr>
        <w:t xml:space="preserve"> Inputting notes and standardizing clinical definitions using medical dictionaries like </w:t>
      </w:r>
      <w:proofErr w:type="spellStart"/>
      <w:r>
        <w:rPr>
          <w:rStyle w:val="inqyif"/>
          <w:rFonts w:ascii="Roboto" w:eastAsia="Times New Roman" w:hAnsi="Roboto"/>
        </w:rPr>
        <w:t>MedDRA</w:t>
      </w:r>
      <w:proofErr w:type="spellEnd"/>
      <w:r>
        <w:rPr>
          <w:rStyle w:val="inqyif"/>
          <w:rFonts w:ascii="Roboto" w:eastAsia="Times New Roman" w:hAnsi="Roboto"/>
        </w:rPr>
        <w:t>.</w:t>
      </w:r>
    </w:p>
    <w:p w14:paraId="2E3F7DE7" w14:textId="77777777" w:rsidR="003174EF" w:rsidRDefault="003174EF" w:rsidP="00A124BA">
      <w:pPr>
        <w:pStyle w:val="z1qcye"/>
        <w:spacing w:before="0" w:beforeAutospacing="0" w:after="0" w:afterAutospacing="0"/>
        <w:ind w:left="720"/>
        <w:rPr>
          <w:rFonts w:ascii="Roboto" w:eastAsia="Times New Roman" w:hAnsi="Roboto"/>
        </w:rPr>
      </w:pPr>
    </w:p>
    <w:p w14:paraId="0FD234E3" w14:textId="77777777" w:rsidR="00A95EEA" w:rsidRDefault="00A95EEA" w:rsidP="00A95EEA">
      <w:pPr>
        <w:pStyle w:val="z1qcye"/>
        <w:numPr>
          <w:ilvl w:val="0"/>
          <w:numId w:val="2"/>
        </w:numPr>
        <w:spacing w:before="0" w:beforeAutospacing="0" w:after="0" w:afterAutospacing="0"/>
        <w:rPr>
          <w:rStyle w:val="inqyif"/>
          <w:rFonts w:ascii="Roboto" w:eastAsia="Times New Roman" w:hAnsi="Roboto"/>
        </w:rPr>
      </w:pPr>
      <w:r>
        <w:rPr>
          <w:rStyle w:val="Strong"/>
          <w:rFonts w:ascii="Roboto" w:eastAsia="Times New Roman" w:hAnsi="Roboto"/>
        </w:rPr>
        <w:t>Causality Assessment:</w:t>
      </w:r>
      <w:r>
        <w:rPr>
          <w:rStyle w:val="inqyif"/>
          <w:rFonts w:ascii="Roboto" w:eastAsia="Times New Roman" w:hAnsi="Roboto"/>
        </w:rPr>
        <w:t xml:space="preserve"> Determining the biological likelihood that the medication caused the clinical event.</w:t>
      </w:r>
    </w:p>
    <w:p w14:paraId="780671B9" w14:textId="77777777" w:rsidR="003174EF" w:rsidRDefault="003174EF" w:rsidP="00A124BA">
      <w:pPr>
        <w:pStyle w:val="z1qcye"/>
        <w:spacing w:before="0" w:beforeAutospacing="0" w:after="0" w:afterAutospacing="0"/>
        <w:ind w:left="720"/>
        <w:rPr>
          <w:rFonts w:ascii="Roboto" w:eastAsia="Times New Roman" w:hAnsi="Roboto"/>
        </w:rPr>
      </w:pPr>
    </w:p>
    <w:p w14:paraId="0E43B319" w14:textId="77777777" w:rsidR="00A95EEA" w:rsidRDefault="00A95EEA" w:rsidP="00A95EEA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="Roboto" w:eastAsia="Times New Roman" w:hAnsi="Roboto"/>
        </w:rPr>
      </w:pPr>
      <w:r>
        <w:rPr>
          <w:rStyle w:val="Strong"/>
          <w:rFonts w:ascii="Roboto" w:eastAsia="Times New Roman" w:hAnsi="Roboto"/>
        </w:rPr>
        <w:t>Seriousness Classification:</w:t>
      </w:r>
      <w:r>
        <w:rPr>
          <w:rStyle w:val="inqyif"/>
          <w:rFonts w:ascii="Roboto" w:eastAsia="Times New Roman" w:hAnsi="Roboto"/>
        </w:rPr>
        <w:t xml:space="preserve"> Categorizing reports based on international health criteria.</w:t>
      </w:r>
    </w:p>
    <w:p w14:paraId="66C9FD18" w14:textId="77777777" w:rsidR="00CF678A" w:rsidRDefault="00CF678A"/>
    <w:sectPr w:rsidR="00CF67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A76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87523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817426">
    <w:abstractNumId w:val="0"/>
  </w:num>
  <w:num w:numId="2" w16cid:durableId="1973366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78A"/>
    <w:rsid w:val="00026663"/>
    <w:rsid w:val="0030319E"/>
    <w:rsid w:val="003174EF"/>
    <w:rsid w:val="003B5525"/>
    <w:rsid w:val="005378B9"/>
    <w:rsid w:val="00A124BA"/>
    <w:rsid w:val="00A95EEA"/>
    <w:rsid w:val="00CF678A"/>
    <w:rsid w:val="00F3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5C6DB6"/>
  <w15:chartTrackingRefBased/>
  <w15:docId w15:val="{501954F9-D28E-4644-803A-7D23AED7A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78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F678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26663"/>
    <w:rPr>
      <w:color w:val="0000FF"/>
      <w:u w:val="single"/>
    </w:rPr>
  </w:style>
  <w:style w:type="paragraph" w:customStyle="1" w:styleId="z1qcye">
    <w:name w:val="z1qcye"/>
    <w:basedOn w:val="Normal"/>
    <w:rsid w:val="0002666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inqyif">
    <w:name w:val="inqyif"/>
    <w:basedOn w:val="DefaultParagraphFont"/>
    <w:rsid w:val="000266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s://www.google.com/url?sa=i&amp;source=web&amp;rct=j&amp;url=https://www.cliniindia.com/the-icsr-process/&amp;ved=2ahUKEwjoprKNmISXAxUSRmwGHcOaKNIQy_kOegoIAggACAEICRAC&amp;opi=89978449&amp;cd&amp;psig=AOvVaw3rJuODAO0_gKL6Bh5vr2L6&amp;ust=1790235239511000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Vaishnavii Marathe</dc:creator>
  <cp:keywords/>
  <dc:description/>
  <cp:lastModifiedBy>Vaishnavii Marathe</cp:lastModifiedBy>
  <cp:revision>2</cp:revision>
  <dcterms:created xsi:type="dcterms:W3CDTF">2026-09-23T07:50:00Z</dcterms:created>
  <dcterms:modified xsi:type="dcterms:W3CDTF">2026-09-23T07:50:00Z</dcterms:modified>
</cp:coreProperties>
</file>