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9BB87" w14:textId="77777777" w:rsidR="00726699" w:rsidRPr="009E2564" w:rsidRDefault="00726699">
      <w:pPr>
        <w:rPr>
          <w:rFonts w:ascii="Roboto" w:eastAsia="Times New Roman" w:hAnsi="Roboto"/>
          <w:sz w:val="40"/>
          <w:szCs w:val="40"/>
        </w:rPr>
      </w:pPr>
      <w:r w:rsidRPr="009E2564">
        <w:rPr>
          <w:rStyle w:val="Strong"/>
          <w:rFonts w:ascii="Roboto" w:eastAsia="Times New Roman" w:hAnsi="Roboto"/>
          <w:sz w:val="40"/>
          <w:szCs w:val="40"/>
        </w:rPr>
        <w:t>Causality assessment</w:t>
      </w:r>
      <w:r w:rsidRPr="009E2564">
        <w:rPr>
          <w:rFonts w:ascii="Roboto" w:eastAsia="Times New Roman" w:hAnsi="Roboto"/>
          <w:sz w:val="40"/>
          <w:szCs w:val="40"/>
        </w:rPr>
        <w:t xml:space="preserve"> </w:t>
      </w:r>
    </w:p>
    <w:p w14:paraId="1761EACE" w14:textId="14449B2E" w:rsidR="00726699" w:rsidRDefault="00726699">
      <w:pPr>
        <w:rPr>
          <w:rFonts w:ascii="Roboto" w:eastAsia="Times New Roman" w:hAnsi="Roboto"/>
          <w:kern w:val="0"/>
          <w14:ligatures w14:val="none"/>
        </w:rPr>
      </w:pPr>
      <w:r>
        <w:rPr>
          <w:rStyle w:val="Strong"/>
          <w:rFonts w:ascii="Roboto" w:eastAsia="Times New Roman" w:hAnsi="Roboto"/>
          <w:b w:val="0"/>
          <w:bCs w:val="0"/>
        </w:rPr>
        <w:t>Causality assessment</w:t>
      </w:r>
      <w:r>
        <w:rPr>
          <w:rFonts w:ascii="Roboto" w:eastAsia="Times New Roman" w:hAnsi="Roboto"/>
        </w:rPr>
        <w:t xml:space="preserve"> pharmacovigilance is the systematic evaluation of the </w:t>
      </w:r>
      <w:r>
        <w:rPr>
          <w:rStyle w:val="Strong"/>
          <w:rFonts w:ascii="Roboto" w:eastAsia="Times New Roman" w:hAnsi="Roboto"/>
          <w:b w:val="0"/>
          <w:bCs w:val="0"/>
        </w:rPr>
        <w:t>likelihood that a specific drug caused an observed adverse drug reaction (ADR)</w:t>
      </w:r>
      <w:r>
        <w:rPr>
          <w:rFonts w:ascii="Roboto" w:eastAsia="Times New Roman" w:hAnsi="Roboto"/>
        </w:rPr>
        <w:t>. Since adverse medical events can also occur due to underlying diseases or other concurrent treatments, this process provides a standardized framework to determine the strength of the association between the medicine and the clinical event.</w:t>
      </w:r>
    </w:p>
    <w:p w14:paraId="6B85719F" w14:textId="77777777" w:rsidR="00AC2FAA" w:rsidRPr="00AC2FAA" w:rsidRDefault="00AC2FAA">
      <w:pPr>
        <w:rPr>
          <w:rFonts w:ascii="Roboto" w:eastAsia="Times New Roman" w:hAnsi="Roboto"/>
          <w:b/>
          <w:bCs/>
          <w:kern w:val="0"/>
          <w:sz w:val="36"/>
          <w:szCs w:val="36"/>
          <w14:ligatures w14:val="none"/>
        </w:rPr>
      </w:pPr>
      <w:r w:rsidRPr="00AC2FAA">
        <w:rPr>
          <w:rFonts w:ascii="Roboto" w:eastAsia="Times New Roman" w:hAnsi="Roboto"/>
          <w:b/>
          <w:bCs/>
          <w:sz w:val="36"/>
          <w:szCs w:val="36"/>
        </w:rPr>
        <w:t>The WHO-UMC Causality Categories</w:t>
      </w:r>
    </w:p>
    <w:p w14:paraId="7964D63F" w14:textId="77777777" w:rsidR="00AC2FAA" w:rsidRDefault="00AC2FAA">
      <w:pPr>
        <w:rPr>
          <w:rFonts w:ascii="Roboto" w:eastAsia="Times New Roman" w:hAnsi="Roboto"/>
        </w:rPr>
      </w:pPr>
      <w:r>
        <w:rPr>
          <w:rFonts w:ascii="Roboto" w:eastAsia="Times New Roman" w:hAnsi="Roboto"/>
        </w:rPr>
        <w:t>The World Health Organization's Uppsala Monitoring Centre (</w:t>
      </w:r>
      <w:hyperlink r:id="rId5" w:tgtFrame="_blank" w:history="1">
        <w:r>
          <w:rPr>
            <w:rStyle w:val="Hyperlink"/>
            <w:rFonts w:ascii="Roboto" w:eastAsia="Times New Roman" w:hAnsi="Roboto"/>
          </w:rPr>
          <w:t>WHO-UMC System</w:t>
        </w:r>
      </w:hyperlink>
      <w:r>
        <w:rPr>
          <w:rFonts w:ascii="Roboto" w:eastAsia="Times New Roman" w:hAnsi="Roboto"/>
        </w:rPr>
        <w:t>) provides a globally recognized baseline for classifying cases:</w:t>
      </w:r>
    </w:p>
    <w:p w14:paraId="2C7C27E6" w14:textId="77777777" w:rsidR="00AC2FAA" w:rsidRDefault="00AC2FAA">
      <w:pPr>
        <w:pStyle w:val="z1qcye"/>
        <w:numPr>
          <w:ilvl w:val="0"/>
          <w:numId w:val="1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Certain:</w:t>
      </w:r>
      <w:r>
        <w:rPr>
          <w:rStyle w:val="inqyif"/>
          <w:rFonts w:ascii="Roboto" w:eastAsia="Times New Roman" w:hAnsi="Roboto"/>
        </w:rPr>
        <w:t xml:space="preserve"> The event occurs within a highly plausible time frame after taking the drug. It cannot be explained by concurrent diseases or other medications. Crucially, the reaction clears up when the drug is stopped (</w:t>
      </w:r>
      <w:r>
        <w:rPr>
          <w:rStyle w:val="Strong"/>
          <w:rFonts w:ascii="Roboto" w:eastAsia="Times New Roman" w:hAnsi="Roboto"/>
        </w:rPr>
        <w:t xml:space="preserve">positive </w:t>
      </w:r>
      <w:proofErr w:type="spellStart"/>
      <w:r>
        <w:rPr>
          <w:rStyle w:val="Strong"/>
          <w:rFonts w:ascii="Roboto" w:eastAsia="Times New Roman" w:hAnsi="Roboto"/>
        </w:rPr>
        <w:t>dechallenge</w:t>
      </w:r>
      <w:proofErr w:type="spellEnd"/>
      <w:r>
        <w:rPr>
          <w:rStyle w:val="inqyif"/>
          <w:rFonts w:ascii="Roboto" w:eastAsia="Times New Roman" w:hAnsi="Roboto"/>
        </w:rPr>
        <w:t>) and reappears if the drug is introduced again (</w:t>
      </w:r>
      <w:r>
        <w:rPr>
          <w:rStyle w:val="Strong"/>
          <w:rFonts w:ascii="Roboto" w:eastAsia="Times New Roman" w:hAnsi="Roboto"/>
        </w:rPr>
        <w:t xml:space="preserve">positive </w:t>
      </w:r>
      <w:proofErr w:type="spellStart"/>
      <w:r>
        <w:rPr>
          <w:rStyle w:val="Strong"/>
          <w:rFonts w:ascii="Roboto" w:eastAsia="Times New Roman" w:hAnsi="Roboto"/>
        </w:rPr>
        <w:t>rechallenge</w:t>
      </w:r>
      <w:proofErr w:type="spellEnd"/>
      <w:r>
        <w:rPr>
          <w:rStyle w:val="inqyif"/>
          <w:rFonts w:ascii="Roboto" w:eastAsia="Times New Roman" w:hAnsi="Roboto"/>
        </w:rPr>
        <w:t>).</w:t>
      </w:r>
    </w:p>
    <w:p w14:paraId="73AF93DC" w14:textId="77777777" w:rsidR="00871CD4" w:rsidRDefault="00871CD4" w:rsidP="00871CD4">
      <w:pPr>
        <w:pStyle w:val="z1qcye"/>
        <w:spacing w:before="0" w:beforeAutospacing="0" w:after="0" w:afterAutospacing="0"/>
        <w:ind w:left="720"/>
        <w:rPr>
          <w:rFonts w:ascii="Roboto" w:eastAsia="Times New Roman" w:hAnsi="Roboto"/>
        </w:rPr>
      </w:pPr>
    </w:p>
    <w:p w14:paraId="369591BA" w14:textId="77777777" w:rsidR="00337C64" w:rsidRDefault="00337C64" w:rsidP="00337C64">
      <w:pPr>
        <w:pStyle w:val="z1qcye"/>
        <w:numPr>
          <w:ilvl w:val="0"/>
          <w:numId w:val="1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Probable / Likely:</w:t>
      </w:r>
      <w:r>
        <w:rPr>
          <w:rStyle w:val="inqyif"/>
          <w:rFonts w:ascii="Roboto" w:eastAsia="Times New Roman" w:hAnsi="Roboto"/>
        </w:rPr>
        <w:t xml:space="preserve"> There is a reasonable timeline linking the drug intake to the event. The reaction is unlikely to be attributed to the patient's illness or other drugs, and stopping the drug produces a clinically reasonable recovery. However, a </w:t>
      </w:r>
      <w:proofErr w:type="spellStart"/>
      <w:r>
        <w:rPr>
          <w:rStyle w:val="inqyif"/>
          <w:rFonts w:ascii="Roboto" w:eastAsia="Times New Roman" w:hAnsi="Roboto"/>
        </w:rPr>
        <w:t>rechallenge</w:t>
      </w:r>
      <w:proofErr w:type="spellEnd"/>
      <w:r>
        <w:rPr>
          <w:rStyle w:val="inqyif"/>
          <w:rFonts w:ascii="Roboto" w:eastAsia="Times New Roman" w:hAnsi="Roboto"/>
        </w:rPr>
        <w:t xml:space="preserve"> is either not performed or not required.</w:t>
      </w:r>
    </w:p>
    <w:p w14:paraId="6AD44FF6" w14:textId="77777777" w:rsidR="00871CD4" w:rsidRDefault="00871CD4" w:rsidP="00871CD4">
      <w:pPr>
        <w:pStyle w:val="z1qcye"/>
        <w:spacing w:before="0" w:beforeAutospacing="0" w:after="0" w:afterAutospacing="0"/>
        <w:ind w:left="720"/>
        <w:rPr>
          <w:rFonts w:ascii="Roboto" w:eastAsia="Times New Roman" w:hAnsi="Roboto"/>
        </w:rPr>
      </w:pPr>
    </w:p>
    <w:p w14:paraId="2304606B" w14:textId="77777777" w:rsidR="00337C64" w:rsidRDefault="00337C64" w:rsidP="00337C64">
      <w:pPr>
        <w:pStyle w:val="z1qcye"/>
        <w:numPr>
          <w:ilvl w:val="0"/>
          <w:numId w:val="1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Possible:</w:t>
      </w:r>
      <w:r>
        <w:rPr>
          <w:rStyle w:val="inqyif"/>
          <w:rFonts w:ascii="Roboto" w:eastAsia="Times New Roman" w:hAnsi="Roboto"/>
        </w:rPr>
        <w:t xml:space="preserve"> The event follows a reasonable timeline but could just as easily be explained by the patient's underlying health conditions or other therapies. Information regarding drug withdrawal may be missing, unclear, or inconclusive.</w:t>
      </w:r>
    </w:p>
    <w:p w14:paraId="715B367F" w14:textId="77777777" w:rsidR="00871CD4" w:rsidRDefault="00871CD4" w:rsidP="00871CD4">
      <w:pPr>
        <w:pStyle w:val="z1qcye"/>
        <w:spacing w:before="0" w:beforeAutospacing="0" w:after="0" w:afterAutospacing="0"/>
        <w:ind w:left="720"/>
        <w:rPr>
          <w:rFonts w:ascii="Roboto" w:eastAsia="Times New Roman" w:hAnsi="Roboto"/>
        </w:rPr>
      </w:pPr>
    </w:p>
    <w:p w14:paraId="79F3A629" w14:textId="77777777" w:rsidR="00337C64" w:rsidRDefault="00337C64" w:rsidP="00337C64">
      <w:pPr>
        <w:pStyle w:val="z1qcye"/>
        <w:numPr>
          <w:ilvl w:val="0"/>
          <w:numId w:val="1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Other Categories:</w:t>
      </w:r>
      <w:r>
        <w:rPr>
          <w:rStyle w:val="inqyif"/>
          <w:rFonts w:ascii="Roboto" w:eastAsia="Times New Roman" w:hAnsi="Roboto"/>
        </w:rPr>
        <w:t xml:space="preserve"> The full scale also includes </w:t>
      </w:r>
      <w:r>
        <w:rPr>
          <w:rStyle w:val="Strong"/>
          <w:rFonts w:ascii="Roboto" w:eastAsia="Times New Roman" w:hAnsi="Roboto"/>
        </w:rPr>
        <w:t>Unlikely</w:t>
      </w:r>
      <w:r>
        <w:rPr>
          <w:rStyle w:val="inqyif"/>
          <w:rFonts w:ascii="Roboto" w:eastAsia="Times New Roman" w:hAnsi="Roboto"/>
        </w:rPr>
        <w:t xml:space="preserve"> (improbable time connection or stronger alternative explanations), </w:t>
      </w:r>
      <w:r>
        <w:rPr>
          <w:rStyle w:val="Strong"/>
          <w:rFonts w:ascii="Roboto" w:eastAsia="Times New Roman" w:hAnsi="Roboto"/>
        </w:rPr>
        <w:t>Conditional/Unclassified</w:t>
      </w:r>
      <w:r>
        <w:rPr>
          <w:rStyle w:val="inqyif"/>
          <w:rFonts w:ascii="Roboto" w:eastAsia="Times New Roman" w:hAnsi="Roboto"/>
        </w:rPr>
        <w:t xml:space="preserve"> (more data is needed), and </w:t>
      </w:r>
      <w:proofErr w:type="spellStart"/>
      <w:r>
        <w:rPr>
          <w:rStyle w:val="Strong"/>
          <w:rFonts w:ascii="Roboto" w:eastAsia="Times New Roman" w:hAnsi="Roboto"/>
        </w:rPr>
        <w:t>Unassessable</w:t>
      </w:r>
      <w:proofErr w:type="spellEnd"/>
      <w:r>
        <w:rPr>
          <w:rStyle w:val="inqyif"/>
          <w:rFonts w:ascii="Roboto" w:eastAsia="Times New Roman" w:hAnsi="Roboto"/>
        </w:rPr>
        <w:t xml:space="preserve"> (insufficient or contradictory information).</w:t>
      </w:r>
    </w:p>
    <w:p w14:paraId="2D500E0F" w14:textId="77777777" w:rsidR="00E5423A" w:rsidRDefault="00E5423A" w:rsidP="00E5423A">
      <w:pPr>
        <w:pStyle w:val="z1qcye"/>
        <w:spacing w:before="0" w:beforeAutospacing="0" w:after="0" w:afterAutospacing="0"/>
        <w:rPr>
          <w:rFonts w:ascii="Roboto" w:eastAsia="Times New Roman" w:hAnsi="Roboto"/>
        </w:rPr>
      </w:pPr>
    </w:p>
    <w:p w14:paraId="003D99F7" w14:textId="77777777" w:rsidR="00E5423A" w:rsidRDefault="00A35DA4">
      <w:pPr>
        <w:rPr>
          <w:b/>
          <w:bCs/>
          <w:sz w:val="36"/>
          <w:szCs w:val="36"/>
        </w:rPr>
      </w:pPr>
      <w:r w:rsidRPr="00E5423A">
        <w:rPr>
          <w:b/>
          <w:bCs/>
          <w:sz w:val="36"/>
          <w:szCs w:val="36"/>
        </w:rPr>
        <w:t>Key Evaluation Criteria</w:t>
      </w:r>
      <w:r w:rsidR="00E5423A" w:rsidRPr="00E5423A">
        <w:rPr>
          <w:b/>
          <w:bCs/>
          <w:sz w:val="36"/>
          <w:szCs w:val="36"/>
        </w:rPr>
        <w:t xml:space="preserve"> </w:t>
      </w:r>
    </w:p>
    <w:p w14:paraId="27463A28" w14:textId="77777777" w:rsidR="00A40ABB" w:rsidRDefault="00A35DA4">
      <w:r>
        <w:t>When safety teams evaluate a case study, they focus heavily on four core parameters:</w:t>
      </w:r>
    </w:p>
    <w:p w14:paraId="192EC57C" w14:textId="77777777" w:rsidR="004F14D8" w:rsidRDefault="00A35DA4">
      <w:r>
        <w:t>Temporal Relationship: Did the adverse event happen after administering the drug in an expected physiological timeframe?</w:t>
      </w:r>
    </w:p>
    <w:p w14:paraId="5F49587A" w14:textId="4CFCCC19" w:rsidR="0070336C" w:rsidRDefault="00A35DA4">
      <w:proofErr w:type="spellStart"/>
      <w:r>
        <w:t>Dechallenge</w:t>
      </w:r>
      <w:proofErr w:type="spellEnd"/>
      <w:r>
        <w:t>: What happened to the symptom or clinical finding when the drug was discontinued or the dose was reduced?</w:t>
      </w:r>
    </w:p>
    <w:p w14:paraId="7DFB59FD" w14:textId="77777777" w:rsidR="00212F4F" w:rsidRDefault="00A35DA4">
      <w:proofErr w:type="spellStart"/>
      <w:r>
        <w:t>Rechallenge</w:t>
      </w:r>
      <w:proofErr w:type="spellEnd"/>
      <w:r>
        <w:t>: Did the exact same symptom return if the patient was re-exposed to the medication?</w:t>
      </w:r>
    </w:p>
    <w:p w14:paraId="0DE14AEA" w14:textId="77777777" w:rsidR="00AC5CCD" w:rsidRDefault="00A35DA4">
      <w:r>
        <w:t xml:space="preserve">Alternative Explanations: Can concurrent illnesses, environmental factors, or other drugs explain the patient’s condition? </w:t>
      </w:r>
    </w:p>
    <w:p w14:paraId="11958A29" w14:textId="7AB1B107" w:rsidR="00A22B12" w:rsidRPr="00A7167E" w:rsidRDefault="00A35DA4">
      <w:r w:rsidRPr="00A22B12">
        <w:rPr>
          <w:b/>
          <w:bCs/>
          <w:sz w:val="36"/>
          <w:szCs w:val="36"/>
        </w:rPr>
        <w:t>Common Assessment Methods</w:t>
      </w:r>
    </w:p>
    <w:p w14:paraId="71A08497" w14:textId="77777777" w:rsidR="00166B7C" w:rsidRDefault="00A35DA4">
      <w:r>
        <w:t>While the text refers to global introspection categories, practitioners widely implement distinct methodologies classified into:</w:t>
      </w:r>
    </w:p>
    <w:p w14:paraId="5158DCC8" w14:textId="752B9493" w:rsidR="00166B7C" w:rsidRDefault="00A35DA4">
      <w:r>
        <w:t xml:space="preserve">Global Introspection (e.g., WHO-UMC Scale): Qualitative assessment based on clinical judgement and predefined narrative </w:t>
      </w:r>
      <w:r w:rsidR="007449CC">
        <w:t>standards’</w:t>
      </w:r>
      <w:r w:rsidR="00166B7C">
        <w:t>.</w:t>
      </w:r>
    </w:p>
    <w:p w14:paraId="520BAA3D" w14:textId="4B29D796" w:rsidR="00726699" w:rsidRPr="00E5423A" w:rsidRDefault="00601057">
      <w:pPr>
        <w:rPr>
          <w:b/>
          <w:bCs/>
          <w:sz w:val="36"/>
          <w:szCs w:val="36"/>
        </w:rPr>
      </w:pPr>
      <w:r>
        <w:t>û</w:t>
      </w:r>
    </w:p>
    <w:sectPr w:rsidR="00726699" w:rsidRPr="00E54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B4F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F45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839575">
    <w:abstractNumId w:val="0"/>
  </w:num>
  <w:num w:numId="2" w16cid:durableId="1316304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699"/>
    <w:rsid w:val="00133D27"/>
    <w:rsid w:val="00166B7C"/>
    <w:rsid w:val="00212F4F"/>
    <w:rsid w:val="00337C64"/>
    <w:rsid w:val="004F14D8"/>
    <w:rsid w:val="005E0CEF"/>
    <w:rsid w:val="00601057"/>
    <w:rsid w:val="0070336C"/>
    <w:rsid w:val="00726699"/>
    <w:rsid w:val="007449CC"/>
    <w:rsid w:val="00871CD4"/>
    <w:rsid w:val="009E2564"/>
    <w:rsid w:val="00A22B12"/>
    <w:rsid w:val="00A35DA4"/>
    <w:rsid w:val="00A40ABB"/>
    <w:rsid w:val="00A7167E"/>
    <w:rsid w:val="00A951A2"/>
    <w:rsid w:val="00AC2FAA"/>
    <w:rsid w:val="00AC5CCD"/>
    <w:rsid w:val="00E5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047D42"/>
  <w15:chartTrackingRefBased/>
  <w15:docId w15:val="{B7AA8BC7-4E4F-C54E-B8C8-3666699A0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69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2669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C2FAA"/>
    <w:rPr>
      <w:color w:val="0000FF"/>
      <w:u w:val="single"/>
    </w:rPr>
  </w:style>
  <w:style w:type="paragraph" w:customStyle="1" w:styleId="z1qcye">
    <w:name w:val="z1qcye"/>
    <w:basedOn w:val="Normal"/>
    <w:rsid w:val="00AC2FA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inqyif">
    <w:name w:val="inqyif"/>
    <w:basedOn w:val="DefaultParagraphFont"/>
    <w:rsid w:val="00AC2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www.google.com/url?sa=i&amp;source=web&amp;rct=j&amp;url=https://www.who.int/docs/default-source/medicines/pharmacovigilance/whocausality-assessment.pdf&amp;ved=2ahUKEwi-xJbmkISXAxUazjgGHRwTIMAQy_kOegoIAggACAEIChAC&amp;opi=89978449&amp;cd&amp;psig=AOvVaw3ujGgkScj4KB56Da5zu6-P&amp;ust=1790233278219000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Vaishnavii Marathe</dc:creator>
  <cp:keywords/>
  <dc:description/>
  <cp:lastModifiedBy>Vaishnavii Marathe</cp:lastModifiedBy>
  <cp:revision>2</cp:revision>
  <dcterms:created xsi:type="dcterms:W3CDTF">2026-09-23T07:15:00Z</dcterms:created>
  <dcterms:modified xsi:type="dcterms:W3CDTF">2026-09-23T07:15:00Z</dcterms:modified>
</cp:coreProperties>
</file>