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88172" w14:textId="1F1ABE60" w:rsidR="00617783" w:rsidRPr="003D184B" w:rsidRDefault="00A22229">
      <w:pPr>
        <w:rPr>
          <w:rStyle w:val="Strong"/>
          <w:rFonts w:ascii="Roboto" w:eastAsia="Times New Roman" w:hAnsi="Roboto"/>
          <w:sz w:val="40"/>
          <w:szCs w:val="40"/>
        </w:rPr>
      </w:pPr>
      <w:r w:rsidRPr="003D184B">
        <w:rPr>
          <w:rFonts w:eastAsia="Times New Roman"/>
          <w:b/>
          <w:bCs/>
          <w:sz w:val="40"/>
          <w:szCs w:val="40"/>
        </w:rPr>
        <w:t>Severity</w:t>
      </w:r>
      <w:r w:rsidR="00E1308D" w:rsidRPr="003D184B">
        <w:rPr>
          <w:rStyle w:val="Strong"/>
          <w:rFonts w:ascii="Roboto" w:eastAsia="Times New Roman" w:hAnsi="Roboto"/>
          <w:b w:val="0"/>
          <w:bCs w:val="0"/>
          <w:sz w:val="40"/>
          <w:szCs w:val="40"/>
        </w:rPr>
        <w:t xml:space="preserve"> </w:t>
      </w:r>
      <w:r w:rsidRPr="003D184B">
        <w:rPr>
          <w:rStyle w:val="Strong"/>
          <w:rFonts w:ascii="Roboto" w:eastAsia="Times New Roman" w:hAnsi="Roboto"/>
          <w:sz w:val="40"/>
          <w:szCs w:val="40"/>
        </w:rPr>
        <w:t xml:space="preserve">Case </w:t>
      </w:r>
      <w:r w:rsidR="00E1308D" w:rsidRPr="003D184B">
        <w:rPr>
          <w:rStyle w:val="Strong"/>
          <w:rFonts w:ascii="Roboto" w:eastAsia="Times New Roman" w:hAnsi="Roboto"/>
          <w:sz w:val="40"/>
          <w:szCs w:val="40"/>
        </w:rPr>
        <w:t>Classification</w:t>
      </w:r>
    </w:p>
    <w:p w14:paraId="013D38F1" w14:textId="2FEE8288" w:rsidR="00E1308D" w:rsidRDefault="00A22229">
      <w:pPr>
        <w:rPr>
          <w:rFonts w:ascii="Roboto" w:eastAsia="Times New Roman" w:hAnsi="Roboto"/>
          <w:kern w:val="0"/>
          <w14:ligatures w14:val="none"/>
        </w:rPr>
      </w:pPr>
      <w:r>
        <w:rPr>
          <w:rStyle w:val="Strong"/>
          <w:rFonts w:ascii="Roboto" w:eastAsia="Times New Roman" w:hAnsi="Roboto"/>
          <w:b w:val="0"/>
          <w:bCs w:val="0"/>
        </w:rPr>
        <w:t>Case Classification</w:t>
      </w:r>
      <w:r w:rsidR="00E1308D">
        <w:rPr>
          <w:rStyle w:val="Strong"/>
          <w:rFonts w:ascii="Roboto" w:eastAsia="Times New Roman" w:hAnsi="Roboto"/>
          <w:b w:val="0"/>
          <w:bCs w:val="0"/>
        </w:rPr>
        <w:t xml:space="preserve"> based on Seriousness and Expectedness</w:t>
      </w:r>
      <w:r w:rsidR="00E1308D">
        <w:rPr>
          <w:rFonts w:ascii="Roboto" w:eastAsia="Times New Roman" w:hAnsi="Roboto"/>
        </w:rPr>
        <w:t xml:space="preserve"> is a core process in pharmacovigilance used to determine regulatory reporting timelines and evaluate global drug safety signals.</w:t>
      </w:r>
    </w:p>
    <w:p w14:paraId="2790263D" w14:textId="77777777" w:rsidR="00DD3014" w:rsidRPr="00DD3014" w:rsidRDefault="00DD3014">
      <w:pPr>
        <w:rPr>
          <w:rFonts w:ascii="Roboto" w:eastAsia="Times New Roman" w:hAnsi="Roboto"/>
          <w:b/>
          <w:bCs/>
          <w:kern w:val="0"/>
          <w:sz w:val="32"/>
          <w:szCs w:val="32"/>
          <w14:ligatures w14:val="none"/>
        </w:rPr>
      </w:pPr>
      <w:r w:rsidRPr="00DD3014">
        <w:rPr>
          <w:rFonts w:ascii="Roboto" w:eastAsia="Times New Roman" w:hAnsi="Roboto"/>
          <w:b/>
          <w:bCs/>
          <w:sz w:val="32"/>
          <w:szCs w:val="32"/>
        </w:rPr>
        <w:t>Seriousness vs. Severity (The Critical Distinction)</w:t>
      </w:r>
    </w:p>
    <w:p w14:paraId="6017BF1C" w14:textId="77777777" w:rsidR="00DD3014" w:rsidRDefault="00DD3014">
      <w:pPr>
        <w:rPr>
          <w:rFonts w:ascii="Roboto" w:eastAsia="Times New Roman" w:hAnsi="Roboto"/>
        </w:rPr>
      </w:pPr>
      <w:r>
        <w:rPr>
          <w:rFonts w:ascii="Roboto" w:eastAsia="Times New Roman" w:hAnsi="Roboto"/>
        </w:rPr>
        <w:t>In pharmacovigilance, these two terms have completely distinct meanings and cannot be used interchangeably:</w:t>
      </w:r>
    </w:p>
    <w:p w14:paraId="0A0B83EB" w14:textId="77777777" w:rsidR="00DD3014" w:rsidRDefault="00DD3014">
      <w:pPr>
        <w:pStyle w:val="z1qcye"/>
        <w:numPr>
          <w:ilvl w:val="0"/>
          <w:numId w:val="1"/>
        </w:numPr>
        <w:spacing w:before="0" w:beforeAutospacing="0" w:after="0" w:afterAutospacing="0"/>
        <w:rPr>
          <w:rStyle w:val="inqyif"/>
          <w:rFonts w:ascii="Roboto" w:eastAsia="Times New Roman" w:hAnsi="Roboto"/>
        </w:rPr>
      </w:pPr>
      <w:r>
        <w:rPr>
          <w:rStyle w:val="Strong"/>
          <w:rFonts w:ascii="Roboto" w:eastAsia="Times New Roman" w:hAnsi="Roboto"/>
        </w:rPr>
        <w:t>Severity:</w:t>
      </w:r>
      <w:r>
        <w:rPr>
          <w:rStyle w:val="inqyif"/>
          <w:rFonts w:ascii="Roboto" w:eastAsia="Times New Roman" w:hAnsi="Roboto"/>
        </w:rPr>
        <w:t xml:space="preserve"> Describes the </w:t>
      </w:r>
      <w:r>
        <w:rPr>
          <w:rStyle w:val="Strong"/>
          <w:rFonts w:ascii="Roboto" w:eastAsia="Times New Roman" w:hAnsi="Roboto"/>
        </w:rPr>
        <w:t>intensity</w:t>
      </w:r>
      <w:r>
        <w:rPr>
          <w:rStyle w:val="inqyif"/>
          <w:rFonts w:ascii="Roboto" w:eastAsia="Times New Roman" w:hAnsi="Roboto"/>
        </w:rPr>
        <w:t xml:space="preserve"> of the adverse event (e.g., a mild vs. a severe headache). It is a clinical judgment that does not necessarily have regulatory reporting implications.</w:t>
      </w:r>
    </w:p>
    <w:p w14:paraId="16AAE1C0" w14:textId="77777777" w:rsidR="00901285" w:rsidRDefault="00901285" w:rsidP="00901285">
      <w:pPr>
        <w:pStyle w:val="z1qcye"/>
        <w:spacing w:before="0" w:beforeAutospacing="0" w:after="0" w:afterAutospacing="0"/>
        <w:ind w:left="720"/>
        <w:rPr>
          <w:rFonts w:ascii="Roboto" w:eastAsia="Times New Roman" w:hAnsi="Roboto"/>
        </w:rPr>
      </w:pPr>
    </w:p>
    <w:p w14:paraId="76D093AD" w14:textId="77777777" w:rsidR="00DD3014" w:rsidRDefault="00DD3014">
      <w:pPr>
        <w:pStyle w:val="z1qcye"/>
        <w:numPr>
          <w:ilvl w:val="0"/>
          <w:numId w:val="1"/>
        </w:numPr>
        <w:spacing w:before="0" w:beforeAutospacing="0" w:after="0" w:afterAutospacing="0"/>
        <w:rPr>
          <w:rStyle w:val="inqyif"/>
          <w:rFonts w:ascii="Roboto" w:eastAsia="Times New Roman" w:hAnsi="Roboto"/>
        </w:rPr>
      </w:pPr>
      <w:r>
        <w:rPr>
          <w:rStyle w:val="Strong"/>
          <w:rFonts w:ascii="Roboto" w:eastAsia="Times New Roman" w:hAnsi="Roboto"/>
        </w:rPr>
        <w:t>Seriousness:</w:t>
      </w:r>
      <w:r>
        <w:rPr>
          <w:rStyle w:val="inqyif"/>
          <w:rFonts w:ascii="Roboto" w:eastAsia="Times New Roman" w:hAnsi="Roboto"/>
        </w:rPr>
        <w:t xml:space="preserve"> A strict </w:t>
      </w:r>
      <w:r>
        <w:rPr>
          <w:rStyle w:val="Strong"/>
          <w:rFonts w:ascii="Roboto" w:eastAsia="Times New Roman" w:hAnsi="Roboto"/>
        </w:rPr>
        <w:t>regulatory status</w:t>
      </w:r>
      <w:r>
        <w:rPr>
          <w:rStyle w:val="inqyif"/>
          <w:rFonts w:ascii="Roboto" w:eastAsia="Times New Roman" w:hAnsi="Roboto"/>
        </w:rPr>
        <w:t xml:space="preserve"> based on the patient outcome or consequence of the reaction. It is binary (Serious vs. Non-Serious).</w:t>
      </w:r>
    </w:p>
    <w:p w14:paraId="3CA9B214" w14:textId="77777777" w:rsidR="00917D5E" w:rsidRDefault="00917D5E" w:rsidP="00901285">
      <w:pPr>
        <w:pStyle w:val="z1qcye"/>
        <w:spacing w:before="0" w:beforeAutospacing="0" w:after="0" w:afterAutospacing="0"/>
        <w:ind w:left="720"/>
        <w:rPr>
          <w:rFonts w:ascii="Roboto" w:eastAsia="Times New Roman" w:hAnsi="Roboto"/>
        </w:rPr>
      </w:pPr>
    </w:p>
    <w:p w14:paraId="2655B33D" w14:textId="6B198520" w:rsidR="00917D5E" w:rsidRPr="00917D5E" w:rsidRDefault="00917D5E">
      <w:pPr>
        <w:rPr>
          <w:rFonts w:ascii="Roboto" w:eastAsia="Times New Roman" w:hAnsi="Roboto"/>
          <w:b/>
          <w:bCs/>
          <w:sz w:val="30"/>
          <w:szCs w:val="30"/>
        </w:rPr>
      </w:pPr>
      <w:r w:rsidRPr="00901285">
        <w:rPr>
          <w:rFonts w:ascii="Roboto" w:eastAsia="Times New Roman" w:hAnsi="Roboto"/>
          <w:b/>
          <w:bCs/>
          <w:sz w:val="32"/>
          <w:szCs w:val="32"/>
        </w:rPr>
        <w:t>Seriousness</w:t>
      </w:r>
      <w:r>
        <w:rPr>
          <w:rFonts w:ascii="Roboto" w:eastAsia="Times New Roman" w:hAnsi="Roboto"/>
          <w:b/>
          <w:bCs/>
          <w:sz w:val="30"/>
          <w:szCs w:val="30"/>
        </w:rPr>
        <w:t xml:space="preserve"> </w:t>
      </w:r>
      <w:r w:rsidRPr="00901285">
        <w:rPr>
          <w:rFonts w:ascii="Roboto" w:eastAsia="Times New Roman" w:hAnsi="Roboto"/>
          <w:b/>
          <w:bCs/>
          <w:sz w:val="32"/>
          <w:szCs w:val="32"/>
        </w:rPr>
        <w:t>Criteria</w:t>
      </w:r>
    </w:p>
    <w:p w14:paraId="24907F18" w14:textId="77777777" w:rsidR="00917D5E" w:rsidRDefault="00917D5E">
      <w:pPr>
        <w:rPr>
          <w:rFonts w:ascii="Roboto" w:eastAsia="Times New Roman" w:hAnsi="Roboto"/>
        </w:rPr>
      </w:pPr>
      <w:r>
        <w:rPr>
          <w:rFonts w:ascii="Roboto" w:eastAsia="Times New Roman" w:hAnsi="Roboto"/>
        </w:rPr>
        <w:t xml:space="preserve">According to </w:t>
      </w:r>
      <w:hyperlink r:id="rId5" w:tgtFrame="_blank" w:history="1">
        <w:r>
          <w:rPr>
            <w:rStyle w:val="Hyperlink"/>
            <w:rFonts w:ascii="Roboto" w:eastAsia="Times New Roman" w:hAnsi="Roboto"/>
          </w:rPr>
          <w:t>ICH E2A guidelines</w:t>
        </w:r>
      </w:hyperlink>
      <w:r>
        <w:rPr>
          <w:rFonts w:ascii="Roboto" w:eastAsia="Times New Roman" w:hAnsi="Roboto"/>
        </w:rPr>
        <w:t xml:space="preserve">, an adverse drug reaction (ADR) is classified as </w:t>
      </w:r>
      <w:r>
        <w:rPr>
          <w:rStyle w:val="Strong"/>
          <w:rFonts w:ascii="Roboto" w:eastAsia="Times New Roman" w:hAnsi="Roboto"/>
        </w:rPr>
        <w:t>Serious</w:t>
      </w:r>
      <w:r>
        <w:rPr>
          <w:rFonts w:ascii="Roboto" w:eastAsia="Times New Roman" w:hAnsi="Roboto"/>
        </w:rPr>
        <w:t xml:space="preserve"> if it results in any of the following outcomes:</w:t>
      </w:r>
    </w:p>
    <w:p w14:paraId="56688A3E" w14:textId="5C59991E" w:rsidR="00917D5E" w:rsidRDefault="00CA4428" w:rsidP="00DC7C75">
      <w:pPr>
        <w:pStyle w:val="z1qcye"/>
        <w:spacing w:before="0" w:beforeAutospacing="0" w:after="0" w:afterAutospacing="0"/>
        <w:rPr>
          <w:rStyle w:val="inqyif"/>
          <w:rFonts w:ascii="Roboto" w:eastAsia="Times New Roman" w:hAnsi="Roboto"/>
        </w:rPr>
      </w:pPr>
      <w:r>
        <w:rPr>
          <w:rStyle w:val="Strong"/>
          <w:rFonts w:ascii="Roboto" w:eastAsia="Times New Roman" w:hAnsi="Roboto"/>
        </w:rPr>
        <w:t>•</w:t>
      </w:r>
      <w:r w:rsidR="00917D5E">
        <w:rPr>
          <w:rStyle w:val="Strong"/>
          <w:rFonts w:ascii="Roboto" w:eastAsia="Times New Roman" w:hAnsi="Roboto"/>
        </w:rPr>
        <w:t>Death:</w:t>
      </w:r>
      <w:r w:rsidR="00917D5E">
        <w:rPr>
          <w:rStyle w:val="inqyif"/>
          <w:rFonts w:ascii="Roboto" w:eastAsia="Times New Roman" w:hAnsi="Roboto"/>
        </w:rPr>
        <w:t xml:space="preserve"> Any event that results in a fatal outcome.</w:t>
      </w:r>
    </w:p>
    <w:p w14:paraId="776C5033" w14:textId="77777777" w:rsidR="00F47722" w:rsidRDefault="00F47722" w:rsidP="00F47722">
      <w:pPr>
        <w:pStyle w:val="z1qcye"/>
        <w:spacing w:before="0" w:beforeAutospacing="0" w:after="0" w:afterAutospacing="0"/>
        <w:ind w:left="720"/>
        <w:rPr>
          <w:rFonts w:ascii="Roboto" w:eastAsia="Times New Roman" w:hAnsi="Roboto"/>
        </w:rPr>
      </w:pPr>
    </w:p>
    <w:p w14:paraId="038C5427" w14:textId="484D6647" w:rsidR="00917D5E" w:rsidRDefault="00CA4428" w:rsidP="00DC7C75">
      <w:pPr>
        <w:pStyle w:val="z1qcye"/>
        <w:spacing w:before="0" w:beforeAutospacing="0" w:after="0" w:afterAutospacing="0"/>
        <w:rPr>
          <w:rStyle w:val="inqyif"/>
          <w:rFonts w:ascii="Roboto" w:eastAsia="Times New Roman" w:hAnsi="Roboto"/>
        </w:rPr>
      </w:pPr>
      <w:r>
        <w:rPr>
          <w:rStyle w:val="Strong"/>
          <w:rFonts w:ascii="Roboto" w:eastAsia="Times New Roman" w:hAnsi="Roboto"/>
        </w:rPr>
        <w:t>•</w:t>
      </w:r>
      <w:r w:rsidR="00917D5E">
        <w:rPr>
          <w:rStyle w:val="Strong"/>
          <w:rFonts w:ascii="Roboto" w:eastAsia="Times New Roman" w:hAnsi="Roboto"/>
        </w:rPr>
        <w:t>Life-threatening:</w:t>
      </w:r>
      <w:r w:rsidR="00917D5E">
        <w:rPr>
          <w:rStyle w:val="inqyif"/>
          <w:rFonts w:ascii="Roboto" w:eastAsia="Times New Roman" w:hAnsi="Roboto"/>
        </w:rPr>
        <w:t xml:space="preserve"> The patient was at immediate risk of death at the time of the event.</w:t>
      </w:r>
    </w:p>
    <w:p w14:paraId="0871B744" w14:textId="77777777" w:rsidR="00F47722" w:rsidRDefault="00F47722" w:rsidP="00F47722">
      <w:pPr>
        <w:pStyle w:val="z1qcye"/>
        <w:spacing w:before="0" w:beforeAutospacing="0" w:after="0" w:afterAutospacing="0"/>
        <w:ind w:left="720"/>
        <w:rPr>
          <w:rFonts w:ascii="Roboto" w:eastAsia="Times New Roman" w:hAnsi="Roboto"/>
        </w:rPr>
      </w:pPr>
    </w:p>
    <w:p w14:paraId="41E990C7" w14:textId="78CC14F8" w:rsidR="00917D5E" w:rsidRDefault="00CA4428" w:rsidP="00DC7C75">
      <w:pPr>
        <w:pStyle w:val="z1qcye"/>
        <w:spacing w:before="0" w:beforeAutospacing="0" w:after="0" w:afterAutospacing="0"/>
        <w:rPr>
          <w:rStyle w:val="inqyif"/>
          <w:rFonts w:ascii="Roboto" w:eastAsia="Times New Roman" w:hAnsi="Roboto"/>
        </w:rPr>
      </w:pPr>
      <w:r>
        <w:rPr>
          <w:rStyle w:val="Strong"/>
          <w:rFonts w:ascii="Roboto" w:eastAsia="Times New Roman" w:hAnsi="Roboto"/>
        </w:rPr>
        <w:t>•</w:t>
      </w:r>
      <w:r w:rsidR="00917D5E">
        <w:rPr>
          <w:rStyle w:val="Strong"/>
          <w:rFonts w:ascii="Roboto" w:eastAsia="Times New Roman" w:hAnsi="Roboto"/>
        </w:rPr>
        <w:t>Hospitalization:</w:t>
      </w:r>
      <w:r w:rsidR="00917D5E">
        <w:rPr>
          <w:rStyle w:val="inqyif"/>
          <w:rFonts w:ascii="Roboto" w:eastAsia="Times New Roman" w:hAnsi="Roboto"/>
        </w:rPr>
        <w:t xml:space="preserve"> Requires inpatient hospitalization or the prolongation of an existing hospital stay</w:t>
      </w:r>
      <w:r w:rsidR="00977F17">
        <w:rPr>
          <w:rStyle w:val="inqyif"/>
          <w:rFonts w:ascii="Roboto" w:eastAsia="Times New Roman" w:hAnsi="Roboto"/>
        </w:rPr>
        <w:t>.</w:t>
      </w:r>
    </w:p>
    <w:p w14:paraId="33AAB802" w14:textId="77777777" w:rsidR="00D92472" w:rsidRDefault="00D92472" w:rsidP="005D4CCF">
      <w:pPr>
        <w:rPr>
          <w:rStyle w:val="inqyif"/>
          <w:rFonts w:ascii="Roboto" w:eastAsia="Times New Roman" w:hAnsi="Roboto"/>
        </w:rPr>
      </w:pPr>
    </w:p>
    <w:p w14:paraId="2F0705BA" w14:textId="625D62F8" w:rsidR="005D4CCF" w:rsidRDefault="00CA4428" w:rsidP="005D4CCF">
      <w:pPr>
        <w:rPr>
          <w:rStyle w:val="inqyif"/>
          <w:rFonts w:ascii="Roboto" w:eastAsia="Times New Roman" w:hAnsi="Roboto"/>
        </w:rPr>
      </w:pPr>
      <w:r>
        <w:rPr>
          <w:rStyle w:val="inqyif"/>
          <w:rFonts w:ascii="Roboto" w:eastAsia="Times New Roman" w:hAnsi="Roboto"/>
          <w:b/>
          <w:bCs/>
        </w:rPr>
        <w:t>•</w:t>
      </w:r>
      <w:r w:rsidR="00B8528A" w:rsidRPr="005D4CCF">
        <w:rPr>
          <w:rStyle w:val="inqyif"/>
          <w:rFonts w:ascii="Roboto" w:eastAsia="Times New Roman" w:hAnsi="Roboto"/>
          <w:b/>
          <w:bCs/>
        </w:rPr>
        <w:t xml:space="preserve">Congenital Anomaly: </w:t>
      </w:r>
      <w:r w:rsidR="00B8528A" w:rsidRPr="00B8528A">
        <w:rPr>
          <w:rStyle w:val="inqyif"/>
          <w:rFonts w:ascii="Roboto" w:eastAsia="Times New Roman" w:hAnsi="Roboto"/>
        </w:rPr>
        <w:t>A birth defect or structural abnormality identified in the child of a patient exposed to the drug</w:t>
      </w:r>
      <w:r w:rsidR="005D4E30">
        <w:rPr>
          <w:rStyle w:val="inqyif"/>
          <w:rFonts w:ascii="Roboto" w:eastAsia="Times New Roman" w:hAnsi="Roboto"/>
        </w:rPr>
        <w:t>.</w:t>
      </w:r>
    </w:p>
    <w:p w14:paraId="23C23532" w14:textId="0CAAE5FD" w:rsidR="00781FBD" w:rsidRDefault="00CA4428" w:rsidP="005D4CCF">
      <w:pPr>
        <w:rPr>
          <w:rStyle w:val="inqyif"/>
          <w:rFonts w:ascii="Roboto" w:eastAsia="Times New Roman" w:hAnsi="Roboto"/>
        </w:rPr>
      </w:pPr>
      <w:r>
        <w:rPr>
          <w:rStyle w:val="inqyif"/>
          <w:rFonts w:ascii="Roboto" w:eastAsia="Times New Roman" w:hAnsi="Roboto"/>
          <w:b/>
          <w:bCs/>
        </w:rPr>
        <w:t>•</w:t>
      </w:r>
      <w:r w:rsidR="00B8528A" w:rsidRPr="005D4CCF">
        <w:rPr>
          <w:rStyle w:val="inqyif"/>
          <w:rFonts w:ascii="Roboto" w:eastAsia="Times New Roman" w:hAnsi="Roboto"/>
          <w:b/>
          <w:bCs/>
        </w:rPr>
        <w:t>Medically Important Event: E</w:t>
      </w:r>
      <w:r w:rsidR="00B8528A" w:rsidRPr="00B8528A">
        <w:rPr>
          <w:rStyle w:val="inqyif"/>
          <w:rFonts w:ascii="Roboto" w:eastAsia="Times New Roman" w:hAnsi="Roboto"/>
        </w:rPr>
        <w:t>vents that do not cause immediate death or hospitalization but jeopardize the patient or require medical intervention to prevent one of the outcomes listed above (e.g., severe allergic bronchospasm).</w:t>
      </w:r>
    </w:p>
    <w:p w14:paraId="560BA868" w14:textId="77777777" w:rsidR="00F60386" w:rsidRPr="00F60386" w:rsidRDefault="00F60386" w:rsidP="005D4CCF">
      <w:pPr>
        <w:rPr>
          <w:rStyle w:val="inqyif"/>
          <w:rFonts w:ascii="Roboto" w:eastAsia="Times New Roman" w:hAnsi="Roboto"/>
          <w:b/>
          <w:bCs/>
          <w:sz w:val="32"/>
          <w:szCs w:val="32"/>
        </w:rPr>
      </w:pPr>
      <w:r w:rsidRPr="00F60386">
        <w:rPr>
          <w:rStyle w:val="inqyif"/>
          <w:rFonts w:ascii="Roboto" w:eastAsia="Times New Roman" w:hAnsi="Roboto"/>
          <w:b/>
          <w:bCs/>
          <w:sz w:val="32"/>
          <w:szCs w:val="32"/>
        </w:rPr>
        <w:t>Expectedness Assessment</w:t>
      </w:r>
    </w:p>
    <w:p w14:paraId="66BBC5CC" w14:textId="4CA00EA2" w:rsidR="001C050B" w:rsidRDefault="00F60386" w:rsidP="005D4CCF">
      <w:pPr>
        <w:rPr>
          <w:rStyle w:val="inqyif"/>
          <w:rFonts w:ascii="Roboto" w:eastAsia="Times New Roman" w:hAnsi="Roboto"/>
        </w:rPr>
      </w:pPr>
      <w:r>
        <w:rPr>
          <w:rStyle w:val="inqyif"/>
          <w:rFonts w:ascii="Roboto" w:eastAsia="Times New Roman" w:hAnsi="Roboto"/>
        </w:rPr>
        <w:t>Expectedness determines whether an adverse event is a known risk or a newly emerging safety observation. It is measured against an officially approved Reference Safety Information (RSI) document, such as the Investigator’s Brochure (IB) for clinical trials or the Summary of Product Characteristics (</w:t>
      </w:r>
      <w:proofErr w:type="spellStart"/>
      <w:r>
        <w:rPr>
          <w:rStyle w:val="inqyif"/>
          <w:rFonts w:ascii="Roboto" w:eastAsia="Times New Roman" w:hAnsi="Roboto"/>
        </w:rPr>
        <w:t>SmPC</w:t>
      </w:r>
      <w:proofErr w:type="spellEnd"/>
      <w:r>
        <w:rPr>
          <w:rStyle w:val="inqyif"/>
          <w:rFonts w:ascii="Roboto" w:eastAsia="Times New Roman" w:hAnsi="Roboto"/>
        </w:rPr>
        <w:t>) for marketed products</w:t>
      </w:r>
      <w:r w:rsidR="001C050B">
        <w:rPr>
          <w:rStyle w:val="inqyif"/>
          <w:rFonts w:ascii="Roboto" w:eastAsia="Times New Roman" w:hAnsi="Roboto"/>
        </w:rPr>
        <w:t>.</w:t>
      </w:r>
    </w:p>
    <w:p w14:paraId="69F90D4A" w14:textId="7CA29AC3" w:rsidR="00C85E9C" w:rsidRDefault="00CA4428" w:rsidP="005D4CCF">
      <w:pPr>
        <w:rPr>
          <w:rStyle w:val="inqyif"/>
          <w:rFonts w:ascii="Roboto" w:eastAsia="Times New Roman" w:hAnsi="Roboto"/>
        </w:rPr>
      </w:pPr>
      <w:r>
        <w:rPr>
          <w:rStyle w:val="inqyif"/>
          <w:rFonts w:ascii="Roboto" w:eastAsia="Times New Roman" w:hAnsi="Roboto"/>
          <w:b/>
          <w:bCs/>
        </w:rPr>
        <w:t>•</w:t>
      </w:r>
      <w:r w:rsidR="00F60386" w:rsidRPr="001C050B">
        <w:rPr>
          <w:rStyle w:val="inqyif"/>
          <w:rFonts w:ascii="Roboto" w:eastAsia="Times New Roman" w:hAnsi="Roboto"/>
          <w:b/>
          <w:bCs/>
        </w:rPr>
        <w:t xml:space="preserve">Expected ADR: </w:t>
      </w:r>
      <w:r w:rsidR="00F60386">
        <w:rPr>
          <w:rStyle w:val="inqyif"/>
          <w:rFonts w:ascii="Roboto" w:eastAsia="Times New Roman" w:hAnsi="Roboto"/>
        </w:rPr>
        <w:t>The reaction is symptomatically and pathologically consistent with the documented risks already listed in the product label or RSI.</w:t>
      </w:r>
    </w:p>
    <w:p w14:paraId="0A9833D1" w14:textId="051834B6" w:rsidR="00F60386" w:rsidRPr="00B8528A" w:rsidRDefault="00CA4428" w:rsidP="005D4CCF">
      <w:pPr>
        <w:rPr>
          <w:rStyle w:val="inqyif"/>
          <w:rFonts w:ascii="Roboto" w:eastAsia="Times New Roman" w:hAnsi="Roboto"/>
        </w:rPr>
      </w:pPr>
      <w:r>
        <w:rPr>
          <w:rStyle w:val="inqyif"/>
          <w:rFonts w:ascii="Roboto" w:eastAsia="Times New Roman" w:hAnsi="Roboto"/>
          <w:b/>
          <w:bCs/>
        </w:rPr>
        <w:t>•</w:t>
      </w:r>
      <w:r w:rsidR="00F60386" w:rsidRPr="00C85E9C">
        <w:rPr>
          <w:rStyle w:val="inqyif"/>
          <w:rFonts w:ascii="Roboto" w:eastAsia="Times New Roman" w:hAnsi="Roboto"/>
          <w:b/>
          <w:bCs/>
        </w:rPr>
        <w:t xml:space="preserve">Unexpected ADR: </w:t>
      </w:r>
      <w:r w:rsidR="00F60386">
        <w:rPr>
          <w:rStyle w:val="inqyif"/>
          <w:rFonts w:ascii="Roboto" w:eastAsia="Times New Roman" w:hAnsi="Roboto"/>
        </w:rPr>
        <w:t>The nature, specificity, frequency, or severity of the reaction is not consistent with the current reference safety document.</w:t>
      </w:r>
    </w:p>
    <w:p w14:paraId="77DF7EEE" w14:textId="77777777" w:rsidR="0001538C" w:rsidRPr="00CA4428" w:rsidRDefault="0001538C">
      <w:pPr>
        <w:rPr>
          <w:rFonts w:ascii="Roboto" w:eastAsia="Times New Roman" w:hAnsi="Roboto"/>
          <w:b/>
          <w:bCs/>
          <w:kern w:val="0"/>
          <w:sz w:val="32"/>
          <w:szCs w:val="32"/>
          <w14:ligatures w14:val="none"/>
        </w:rPr>
      </w:pPr>
      <w:r w:rsidRPr="00CA4428">
        <w:rPr>
          <w:rFonts w:ascii="Roboto" w:eastAsia="Times New Roman" w:hAnsi="Roboto"/>
          <w:b/>
          <w:bCs/>
          <w:sz w:val="32"/>
          <w:szCs w:val="32"/>
        </w:rPr>
        <w:t>Case Management Matrix &amp; Clinical Impact</w:t>
      </w:r>
    </w:p>
    <w:p w14:paraId="54157575" w14:textId="77777777" w:rsidR="0001538C" w:rsidRDefault="0001538C">
      <w:pPr>
        <w:rPr>
          <w:rFonts w:ascii="Roboto" w:eastAsia="Times New Roman" w:hAnsi="Roboto"/>
        </w:rPr>
      </w:pPr>
      <w:r>
        <w:rPr>
          <w:rFonts w:ascii="Roboto" w:eastAsia="Times New Roman" w:hAnsi="Roboto"/>
        </w:rPr>
        <w:t>Combining these variables dictates how cases are triaged within an Individual Case Safety Report (ICSR)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8"/>
        <w:gridCol w:w="2919"/>
        <w:gridCol w:w="4753"/>
      </w:tblGrid>
      <w:tr w:rsidR="0001538C" w14:paraId="6BEBD74E" w14:textId="77777777">
        <w:trPr>
          <w:tblCellSpacing w:w="15" w:type="dxa"/>
        </w:trPr>
        <w:tc>
          <w:tcPr>
            <w:tcW w:w="0" w:type="auto"/>
            <w:tcBorders>
              <w:bottom w:val="single" w:sz="4" w:space="0" w:color="515457"/>
            </w:tcBorders>
            <w:vAlign w:val="center"/>
            <w:hideMark/>
          </w:tcPr>
          <w:p w14:paraId="5647F33A" w14:textId="77777777" w:rsidR="0001538C" w:rsidRDefault="0001538C">
            <w:pPr>
              <w:jc w:val="center"/>
              <w:rPr>
                <w:rFonts w:ascii="Roboto" w:eastAsia="Times New Roman" w:hAnsi="Roboto"/>
                <w:b/>
                <w:bCs/>
                <w:sz w:val="21"/>
                <w:szCs w:val="21"/>
              </w:rPr>
            </w:pPr>
            <w:r>
              <w:rPr>
                <w:rFonts w:ascii="Roboto" w:eastAsia="Times New Roman" w:hAnsi="Roboto"/>
                <w:b/>
                <w:bCs/>
                <w:sz w:val="21"/>
                <w:szCs w:val="21"/>
              </w:rPr>
              <w:t>Case Classification</w:t>
            </w:r>
          </w:p>
        </w:tc>
        <w:tc>
          <w:tcPr>
            <w:tcW w:w="0" w:type="auto"/>
            <w:tcBorders>
              <w:bottom w:val="single" w:sz="4" w:space="0" w:color="515457"/>
            </w:tcBorders>
            <w:vAlign w:val="center"/>
            <w:hideMark/>
          </w:tcPr>
          <w:p w14:paraId="214ADD3A" w14:textId="77777777" w:rsidR="0001538C" w:rsidRDefault="0001538C">
            <w:pPr>
              <w:jc w:val="center"/>
              <w:rPr>
                <w:rFonts w:ascii="Roboto" w:eastAsia="Times New Roman" w:hAnsi="Roboto"/>
                <w:b/>
                <w:bCs/>
                <w:sz w:val="21"/>
                <w:szCs w:val="21"/>
              </w:rPr>
            </w:pPr>
            <w:r>
              <w:rPr>
                <w:rFonts w:ascii="Roboto" w:eastAsia="Times New Roman" w:hAnsi="Roboto"/>
                <w:b/>
                <w:bCs/>
                <w:sz w:val="21"/>
                <w:szCs w:val="21"/>
              </w:rPr>
              <w:t>Regulatory Classification / Action</w:t>
            </w:r>
          </w:p>
        </w:tc>
        <w:tc>
          <w:tcPr>
            <w:tcW w:w="0" w:type="auto"/>
            <w:tcBorders>
              <w:bottom w:val="single" w:sz="4" w:space="0" w:color="515457"/>
            </w:tcBorders>
            <w:vAlign w:val="center"/>
            <w:hideMark/>
          </w:tcPr>
          <w:p w14:paraId="5015B5CA" w14:textId="77777777" w:rsidR="0001538C" w:rsidRDefault="0001538C">
            <w:pPr>
              <w:jc w:val="center"/>
              <w:rPr>
                <w:rFonts w:ascii="Roboto" w:eastAsia="Times New Roman" w:hAnsi="Roboto"/>
                <w:b/>
                <w:bCs/>
                <w:sz w:val="21"/>
                <w:szCs w:val="21"/>
              </w:rPr>
            </w:pPr>
            <w:r>
              <w:rPr>
                <w:rFonts w:ascii="Roboto" w:eastAsia="Times New Roman" w:hAnsi="Roboto"/>
                <w:b/>
                <w:bCs/>
                <w:sz w:val="21"/>
                <w:szCs w:val="21"/>
              </w:rPr>
              <w:t>Reporting Urgency</w:t>
            </w:r>
          </w:p>
        </w:tc>
      </w:tr>
      <w:tr w:rsidR="0001538C" w14:paraId="783F9936" w14:textId="77777777">
        <w:trPr>
          <w:tblCellSpacing w:w="15" w:type="dxa"/>
        </w:trPr>
        <w:tc>
          <w:tcPr>
            <w:tcW w:w="0" w:type="auto"/>
            <w:tcBorders>
              <w:bottom w:val="single" w:sz="4" w:space="0" w:color="515457"/>
            </w:tcBorders>
            <w:vAlign w:val="center"/>
            <w:hideMark/>
          </w:tcPr>
          <w:p w14:paraId="51AFABC5" w14:textId="77777777" w:rsidR="0001538C" w:rsidRDefault="0001538C">
            <w:pPr>
              <w:rPr>
                <w:rFonts w:ascii="Roboto" w:eastAsia="Times New Roman" w:hAnsi="Roboto"/>
                <w:sz w:val="21"/>
                <w:szCs w:val="21"/>
              </w:rPr>
            </w:pPr>
            <w:r>
              <w:rPr>
                <w:rStyle w:val="Strong"/>
                <w:rFonts w:ascii="Roboto" w:eastAsia="Times New Roman" w:hAnsi="Roboto"/>
                <w:sz w:val="21"/>
                <w:szCs w:val="21"/>
              </w:rPr>
              <w:t>Serious + Unexpected</w:t>
            </w:r>
          </w:p>
        </w:tc>
        <w:tc>
          <w:tcPr>
            <w:tcW w:w="0" w:type="auto"/>
            <w:tcBorders>
              <w:bottom w:val="single" w:sz="4" w:space="0" w:color="515457"/>
            </w:tcBorders>
            <w:vAlign w:val="center"/>
            <w:hideMark/>
          </w:tcPr>
          <w:p w14:paraId="5B5D75B6" w14:textId="77777777" w:rsidR="0001538C" w:rsidRDefault="0001538C">
            <w:pPr>
              <w:rPr>
                <w:rFonts w:ascii="Roboto" w:eastAsia="Times New Roman" w:hAnsi="Roboto"/>
                <w:sz w:val="21"/>
                <w:szCs w:val="21"/>
              </w:rPr>
            </w:pPr>
            <w:r>
              <w:rPr>
                <w:rStyle w:val="Strong"/>
                <w:rFonts w:ascii="Roboto" w:eastAsia="Times New Roman" w:hAnsi="Roboto"/>
                <w:sz w:val="21"/>
                <w:szCs w:val="21"/>
              </w:rPr>
              <w:t>SUSAR</w:t>
            </w:r>
            <w:r>
              <w:rPr>
                <w:rFonts w:ascii="Roboto" w:eastAsia="Times New Roman" w:hAnsi="Roboto"/>
                <w:sz w:val="21"/>
                <w:szCs w:val="21"/>
              </w:rPr>
              <w:t xml:space="preserve"> (Suspected Unexpected Serious Adverse Reaction)</w:t>
            </w:r>
          </w:p>
        </w:tc>
        <w:tc>
          <w:tcPr>
            <w:tcW w:w="0" w:type="auto"/>
            <w:tcBorders>
              <w:bottom w:val="single" w:sz="4" w:space="0" w:color="515457"/>
            </w:tcBorders>
            <w:vAlign w:val="center"/>
            <w:hideMark/>
          </w:tcPr>
          <w:p w14:paraId="2B79BC75" w14:textId="77777777" w:rsidR="0001538C" w:rsidRDefault="0001538C">
            <w:pPr>
              <w:rPr>
                <w:rFonts w:ascii="Roboto" w:eastAsia="Times New Roman" w:hAnsi="Roboto"/>
                <w:sz w:val="21"/>
                <w:szCs w:val="21"/>
              </w:rPr>
            </w:pPr>
            <w:r>
              <w:rPr>
                <w:rStyle w:val="Strong"/>
                <w:rFonts w:ascii="Roboto" w:eastAsia="Times New Roman" w:hAnsi="Roboto"/>
                <w:sz w:val="21"/>
                <w:szCs w:val="21"/>
              </w:rPr>
              <w:t>Expedited Reporting</w:t>
            </w:r>
            <w:r>
              <w:rPr>
                <w:rFonts w:ascii="Roboto" w:eastAsia="Times New Roman" w:hAnsi="Roboto"/>
                <w:sz w:val="21"/>
                <w:szCs w:val="21"/>
              </w:rPr>
              <w:t xml:space="preserve"> (Typically 7 days for fatal/life-threatening cases; 15 days for others)</w:t>
            </w:r>
          </w:p>
        </w:tc>
      </w:tr>
      <w:tr w:rsidR="0001538C" w14:paraId="5549CE7C" w14:textId="77777777">
        <w:trPr>
          <w:tblCellSpacing w:w="15" w:type="dxa"/>
        </w:trPr>
        <w:tc>
          <w:tcPr>
            <w:tcW w:w="0" w:type="auto"/>
            <w:tcBorders>
              <w:bottom w:val="single" w:sz="4" w:space="0" w:color="515457"/>
            </w:tcBorders>
            <w:vAlign w:val="center"/>
            <w:hideMark/>
          </w:tcPr>
          <w:p w14:paraId="3AE59C1C" w14:textId="77777777" w:rsidR="0001538C" w:rsidRDefault="0001538C">
            <w:pPr>
              <w:rPr>
                <w:rFonts w:ascii="Roboto" w:eastAsia="Times New Roman" w:hAnsi="Roboto"/>
                <w:sz w:val="21"/>
                <w:szCs w:val="21"/>
              </w:rPr>
            </w:pPr>
            <w:r>
              <w:rPr>
                <w:rStyle w:val="Strong"/>
                <w:rFonts w:ascii="Roboto" w:eastAsia="Times New Roman" w:hAnsi="Roboto"/>
                <w:sz w:val="21"/>
                <w:szCs w:val="21"/>
              </w:rPr>
              <w:t>Serious + Expected</w:t>
            </w:r>
          </w:p>
        </w:tc>
        <w:tc>
          <w:tcPr>
            <w:tcW w:w="0" w:type="auto"/>
            <w:tcBorders>
              <w:bottom w:val="single" w:sz="4" w:space="0" w:color="515457"/>
            </w:tcBorders>
            <w:vAlign w:val="center"/>
            <w:hideMark/>
          </w:tcPr>
          <w:p w14:paraId="15A2C2CE" w14:textId="77777777" w:rsidR="0001538C" w:rsidRDefault="0001538C">
            <w:pPr>
              <w:rPr>
                <w:rFonts w:ascii="Roboto" w:eastAsia="Times New Roman" w:hAnsi="Roboto"/>
                <w:sz w:val="21"/>
                <w:szCs w:val="21"/>
              </w:rPr>
            </w:pPr>
            <w:r>
              <w:rPr>
                <w:rFonts w:ascii="Roboto" w:eastAsia="Times New Roman" w:hAnsi="Roboto"/>
                <w:sz w:val="21"/>
                <w:szCs w:val="21"/>
              </w:rPr>
              <w:t>Serious Expected Case</w:t>
            </w:r>
          </w:p>
        </w:tc>
        <w:tc>
          <w:tcPr>
            <w:tcW w:w="0" w:type="auto"/>
            <w:tcBorders>
              <w:bottom w:val="single" w:sz="4" w:space="0" w:color="515457"/>
            </w:tcBorders>
            <w:vAlign w:val="center"/>
            <w:hideMark/>
          </w:tcPr>
          <w:p w14:paraId="20180A24" w14:textId="77777777" w:rsidR="0001538C" w:rsidRDefault="0001538C">
            <w:pPr>
              <w:rPr>
                <w:rFonts w:ascii="Roboto" w:eastAsia="Times New Roman" w:hAnsi="Roboto"/>
                <w:sz w:val="21"/>
                <w:szCs w:val="21"/>
              </w:rPr>
            </w:pPr>
            <w:r>
              <w:rPr>
                <w:rFonts w:ascii="Roboto" w:eastAsia="Times New Roman" w:hAnsi="Roboto"/>
                <w:sz w:val="21"/>
                <w:szCs w:val="21"/>
              </w:rPr>
              <w:t>Standard or semi-expedited reporting depending on country-specific rules; tracked in cumulative safety aggregates.</w:t>
            </w:r>
          </w:p>
        </w:tc>
      </w:tr>
      <w:tr w:rsidR="0001538C" w14:paraId="377486C8" w14:textId="77777777">
        <w:trPr>
          <w:tblCellSpacing w:w="15" w:type="dxa"/>
        </w:trPr>
        <w:tc>
          <w:tcPr>
            <w:tcW w:w="0" w:type="auto"/>
            <w:tcBorders>
              <w:bottom w:val="nil"/>
            </w:tcBorders>
            <w:vAlign w:val="center"/>
            <w:hideMark/>
          </w:tcPr>
          <w:p w14:paraId="0B8348DC" w14:textId="77777777" w:rsidR="0001538C" w:rsidRDefault="0001538C">
            <w:pPr>
              <w:rPr>
                <w:rFonts w:ascii="Roboto" w:eastAsia="Times New Roman" w:hAnsi="Roboto"/>
                <w:sz w:val="21"/>
                <w:szCs w:val="21"/>
              </w:rPr>
            </w:pPr>
            <w:r>
              <w:rPr>
                <w:rStyle w:val="Strong"/>
                <w:rFonts w:ascii="Roboto" w:eastAsia="Times New Roman" w:hAnsi="Roboto"/>
                <w:sz w:val="21"/>
                <w:szCs w:val="21"/>
              </w:rPr>
              <w:t>Non-Serious</w:t>
            </w:r>
          </w:p>
        </w:tc>
        <w:tc>
          <w:tcPr>
            <w:tcW w:w="0" w:type="auto"/>
            <w:tcBorders>
              <w:bottom w:val="nil"/>
            </w:tcBorders>
            <w:vAlign w:val="center"/>
            <w:hideMark/>
          </w:tcPr>
          <w:p w14:paraId="468EE348" w14:textId="77777777" w:rsidR="0001538C" w:rsidRDefault="0001538C">
            <w:pPr>
              <w:rPr>
                <w:rFonts w:ascii="Roboto" w:eastAsia="Times New Roman" w:hAnsi="Roboto"/>
                <w:sz w:val="21"/>
                <w:szCs w:val="21"/>
              </w:rPr>
            </w:pPr>
            <w:r>
              <w:rPr>
                <w:rFonts w:ascii="Roboto" w:eastAsia="Times New Roman" w:hAnsi="Roboto"/>
                <w:sz w:val="21"/>
                <w:szCs w:val="21"/>
              </w:rPr>
              <w:t>Non-Serious Case</w:t>
            </w:r>
          </w:p>
        </w:tc>
        <w:tc>
          <w:tcPr>
            <w:tcW w:w="0" w:type="auto"/>
            <w:tcBorders>
              <w:bottom w:val="nil"/>
            </w:tcBorders>
            <w:vAlign w:val="center"/>
            <w:hideMark/>
          </w:tcPr>
          <w:p w14:paraId="72B2264F" w14:textId="77777777" w:rsidR="0001538C" w:rsidRDefault="0001538C">
            <w:pPr>
              <w:rPr>
                <w:rFonts w:ascii="Roboto" w:eastAsia="Times New Roman" w:hAnsi="Roboto"/>
                <w:sz w:val="21"/>
                <w:szCs w:val="21"/>
              </w:rPr>
            </w:pPr>
            <w:r>
              <w:rPr>
                <w:rFonts w:ascii="Roboto" w:eastAsia="Times New Roman" w:hAnsi="Roboto"/>
                <w:sz w:val="21"/>
                <w:szCs w:val="21"/>
              </w:rPr>
              <w:t>Included in periodic safety update reports (PSURs) to monitor low-risk, high-frequency trends.</w:t>
            </w:r>
          </w:p>
        </w:tc>
      </w:tr>
    </w:tbl>
    <w:p w14:paraId="6025C34C" w14:textId="77777777" w:rsidR="00781FBD" w:rsidRDefault="00781FBD" w:rsidP="00781FBD">
      <w:pPr>
        <w:pStyle w:val="z1qcye"/>
        <w:spacing w:before="0" w:beforeAutospacing="0" w:after="0" w:afterAutospacing="0"/>
        <w:ind w:left="720"/>
        <w:rPr>
          <w:rStyle w:val="inqyif"/>
          <w:rFonts w:ascii="Roboto" w:eastAsia="Times New Roman" w:hAnsi="Roboto"/>
        </w:rPr>
      </w:pPr>
    </w:p>
    <w:p w14:paraId="32DC2418" w14:textId="77777777" w:rsidR="00F47722" w:rsidRDefault="00F47722" w:rsidP="00F47722">
      <w:pPr>
        <w:pStyle w:val="ListParagraph"/>
        <w:rPr>
          <w:rFonts w:ascii="Roboto" w:eastAsia="Times New Roman" w:hAnsi="Roboto"/>
        </w:rPr>
      </w:pPr>
    </w:p>
    <w:p w14:paraId="1F2D95E5" w14:textId="77777777" w:rsidR="00F47722" w:rsidRDefault="00F47722" w:rsidP="00F47722">
      <w:pPr>
        <w:pStyle w:val="z1qcye"/>
        <w:spacing w:before="0" w:beforeAutospacing="0" w:after="0" w:afterAutospacing="0"/>
        <w:ind w:left="720"/>
        <w:rPr>
          <w:rFonts w:ascii="Roboto" w:eastAsia="Times New Roman" w:hAnsi="Roboto"/>
        </w:rPr>
      </w:pPr>
    </w:p>
    <w:p w14:paraId="3863E8BA" w14:textId="77777777" w:rsidR="00917D5E" w:rsidRDefault="00917D5E" w:rsidP="00F47722">
      <w:pPr>
        <w:pStyle w:val="z1qcye"/>
        <w:spacing w:before="0" w:beforeAutospacing="0" w:after="180" w:afterAutospacing="0"/>
        <w:rPr>
          <w:rFonts w:ascii="Roboto" w:eastAsia="Times New Roman" w:hAnsi="Roboto"/>
        </w:rPr>
      </w:pPr>
    </w:p>
    <w:p w14:paraId="3BDCA877" w14:textId="77777777" w:rsidR="00E1308D" w:rsidRDefault="00E1308D"/>
    <w:sectPr w:rsidR="00E130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655EF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A4548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7402445">
    <w:abstractNumId w:val="0"/>
  </w:num>
  <w:num w:numId="2" w16cid:durableId="9424994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7"/>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08D"/>
    <w:rsid w:val="0001538C"/>
    <w:rsid w:val="00015DCC"/>
    <w:rsid w:val="001C050B"/>
    <w:rsid w:val="002D56E6"/>
    <w:rsid w:val="003D184B"/>
    <w:rsid w:val="005D4CCF"/>
    <w:rsid w:val="005D4E30"/>
    <w:rsid w:val="005E5D51"/>
    <w:rsid w:val="00617783"/>
    <w:rsid w:val="00781FBD"/>
    <w:rsid w:val="008431C5"/>
    <w:rsid w:val="00901285"/>
    <w:rsid w:val="00917D5E"/>
    <w:rsid w:val="00977F17"/>
    <w:rsid w:val="00A22229"/>
    <w:rsid w:val="00B8528A"/>
    <w:rsid w:val="00C85E9C"/>
    <w:rsid w:val="00CA4428"/>
    <w:rsid w:val="00D92472"/>
    <w:rsid w:val="00DC7C75"/>
    <w:rsid w:val="00DD3014"/>
    <w:rsid w:val="00E1308D"/>
    <w:rsid w:val="00EE08D8"/>
    <w:rsid w:val="00F47722"/>
    <w:rsid w:val="00F603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9263B1"/>
  <w15:chartTrackingRefBased/>
  <w15:docId w15:val="{9FE9F192-1154-E44D-9028-E2C0738F0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30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30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30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30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30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30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0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0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0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0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30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30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30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30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30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0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0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08D"/>
    <w:rPr>
      <w:rFonts w:eastAsiaTheme="majorEastAsia" w:cstheme="majorBidi"/>
      <w:color w:val="272727" w:themeColor="text1" w:themeTint="D8"/>
    </w:rPr>
  </w:style>
  <w:style w:type="paragraph" w:styleId="Title">
    <w:name w:val="Title"/>
    <w:basedOn w:val="Normal"/>
    <w:next w:val="Normal"/>
    <w:link w:val="TitleChar"/>
    <w:uiPriority w:val="10"/>
    <w:qFormat/>
    <w:rsid w:val="00E130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0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0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0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08D"/>
    <w:pPr>
      <w:spacing w:before="160"/>
      <w:jc w:val="center"/>
    </w:pPr>
    <w:rPr>
      <w:i/>
      <w:iCs/>
      <w:color w:val="404040" w:themeColor="text1" w:themeTint="BF"/>
    </w:rPr>
  </w:style>
  <w:style w:type="character" w:customStyle="1" w:styleId="QuoteChar">
    <w:name w:val="Quote Char"/>
    <w:basedOn w:val="DefaultParagraphFont"/>
    <w:link w:val="Quote"/>
    <w:uiPriority w:val="29"/>
    <w:rsid w:val="00E1308D"/>
    <w:rPr>
      <w:i/>
      <w:iCs/>
      <w:color w:val="404040" w:themeColor="text1" w:themeTint="BF"/>
    </w:rPr>
  </w:style>
  <w:style w:type="paragraph" w:styleId="ListParagraph">
    <w:name w:val="List Paragraph"/>
    <w:basedOn w:val="Normal"/>
    <w:uiPriority w:val="34"/>
    <w:qFormat/>
    <w:rsid w:val="00E1308D"/>
    <w:pPr>
      <w:ind w:left="720"/>
      <w:contextualSpacing/>
    </w:pPr>
  </w:style>
  <w:style w:type="character" w:styleId="IntenseEmphasis">
    <w:name w:val="Intense Emphasis"/>
    <w:basedOn w:val="DefaultParagraphFont"/>
    <w:uiPriority w:val="21"/>
    <w:qFormat/>
    <w:rsid w:val="00E1308D"/>
    <w:rPr>
      <w:i/>
      <w:iCs/>
      <w:color w:val="0F4761" w:themeColor="accent1" w:themeShade="BF"/>
    </w:rPr>
  </w:style>
  <w:style w:type="paragraph" w:styleId="IntenseQuote">
    <w:name w:val="Intense Quote"/>
    <w:basedOn w:val="Normal"/>
    <w:next w:val="Normal"/>
    <w:link w:val="IntenseQuoteChar"/>
    <w:uiPriority w:val="30"/>
    <w:qFormat/>
    <w:rsid w:val="00E130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308D"/>
    <w:rPr>
      <w:i/>
      <w:iCs/>
      <w:color w:val="0F4761" w:themeColor="accent1" w:themeShade="BF"/>
    </w:rPr>
  </w:style>
  <w:style w:type="character" w:styleId="IntenseReference">
    <w:name w:val="Intense Reference"/>
    <w:basedOn w:val="DefaultParagraphFont"/>
    <w:uiPriority w:val="32"/>
    <w:qFormat/>
    <w:rsid w:val="00E1308D"/>
    <w:rPr>
      <w:b/>
      <w:bCs/>
      <w:smallCaps/>
      <w:color w:val="0F4761" w:themeColor="accent1" w:themeShade="BF"/>
      <w:spacing w:val="5"/>
    </w:rPr>
  </w:style>
  <w:style w:type="character" w:styleId="Strong">
    <w:name w:val="Strong"/>
    <w:basedOn w:val="DefaultParagraphFont"/>
    <w:uiPriority w:val="22"/>
    <w:qFormat/>
    <w:rsid w:val="00E1308D"/>
    <w:rPr>
      <w:b/>
      <w:bCs/>
    </w:rPr>
  </w:style>
  <w:style w:type="paragraph" w:customStyle="1" w:styleId="z1qcye">
    <w:name w:val="z1qcye"/>
    <w:basedOn w:val="Normal"/>
    <w:rsid w:val="00DD3014"/>
    <w:pPr>
      <w:spacing w:before="100" w:beforeAutospacing="1" w:after="100" w:afterAutospacing="1" w:line="240" w:lineRule="auto"/>
    </w:pPr>
    <w:rPr>
      <w:rFonts w:ascii="Times New Roman" w:hAnsi="Times New Roman" w:cs="Times New Roman"/>
      <w:kern w:val="0"/>
      <w14:ligatures w14:val="none"/>
    </w:rPr>
  </w:style>
  <w:style w:type="character" w:customStyle="1" w:styleId="inqyif">
    <w:name w:val="inqyif"/>
    <w:basedOn w:val="DefaultParagraphFont"/>
    <w:rsid w:val="00DD3014"/>
  </w:style>
  <w:style w:type="character" w:styleId="Hyperlink">
    <w:name w:val="Hyperlink"/>
    <w:basedOn w:val="DefaultParagraphFont"/>
    <w:uiPriority w:val="99"/>
    <w:semiHidden/>
    <w:unhideWhenUsed/>
    <w:rsid w:val="00917D5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hyperlink" Target="https://www.google.com/url?sa=i&amp;source=web&amp;rct=j&amp;url=https://database.ich.org/sites/default/files/E2A_Guideline.pdf&amp;ved=2ahUKEwiqso6vlISXAxUlfGwGHb9PC8wQy_kOegoIAggACAEIDhAC&amp;opi=89978449&amp;cd&amp;psig=AOvVaw3pf_fT-amDvw3o4emODMpV&amp;ust=1790234236484000" TargetMode="Externa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455</Words>
  <Characters>2598</Characters>
  <Application>Microsoft Office Word</Application>
  <DocSecurity>0</DocSecurity>
  <Lines>21</Lines>
  <Paragraphs>6</Paragraphs>
  <ScaleCrop>false</ScaleCrop>
  <Company/>
  <LinksUpToDate>false</LinksUpToDate>
  <CharactersWithSpaces>3047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Vaishnavii Marathe</dc:creator>
  <cp:keywords/>
  <dc:description/>
  <cp:lastModifiedBy>Vaishnavii Marathe</cp:lastModifiedBy>
  <cp:revision>2</cp:revision>
  <dcterms:created xsi:type="dcterms:W3CDTF">2026-09-23T07:33:00Z</dcterms:created>
  <dcterms:modified xsi:type="dcterms:W3CDTF">2026-09-23T07:33:00Z</dcterms:modified>
</cp:coreProperties>
</file>