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ab/>
        <w:tab/>
        <w:t xml:space="preserve">Video Classification: WLASL Dataset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main thing that separates videos from images is that videos have a temporal structure in addition to the spatial structure found in images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. Video is just a collection of images operating in a specific temporal resolution i.e. frames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WLASL Dataset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Classes: 2,000 common different words in ASL.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number of videos for training:  18216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number of videos for testing:  2879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PREPROCESSING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Convert to mp4, extract Youtube frames and create video instances,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Algorithm Used:</w:t>
      </w:r>
    </w:p>
    <w:p w:rsidR="00000000" w:rsidDel="00000000" w:rsidP="00000000" w:rsidRDefault="00000000" w:rsidRPr="00000000" w14:paraId="0000000F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I3D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is a 3D video classification network: Uses 3D Convolution to learn spatiotemporal information directly from videos.</w:t>
      </w:r>
    </w:p>
    <w:p w:rsidR="00000000" w:rsidDel="00000000" w:rsidP="00000000" w:rsidRDefault="00000000" w:rsidRPr="00000000" w14:paraId="00000010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It expands the filters and pooling layers to 3D.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Transfer Learning: 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The weights and biases that a model uses to detect features in one domain will often work well for detecting features in a different domain, if the two are similar. This is called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transfer learning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Weights and biases were taken from Inception v3 model(pre-trained from ImageNet Dataset). When inflating the 2D model into 3D, they simply took the weights and biases of each 2D layer and “stacked them up” to form a 3rd dimension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The final I3D architecture was trained on the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Kinetics</w:t>
        </w:r>
      </w:hyperlink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dataset, a massive compilation of YouTube URLs for over 400 human actions and over 400 video samples per action.</w:t>
      </w:r>
    </w:p>
    <w:p w:rsidR="00000000" w:rsidDel="00000000" w:rsidP="00000000" w:rsidRDefault="00000000" w:rsidRPr="00000000" w14:paraId="00000015">
      <w:pPr>
        <w:ind w:left="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Used: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Mode used: RGB Frames [Other option: optical flow]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Set Up: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model:  InceptionI3d (400, in_channels=3) : 400 classes and 3 input channels  // In the original kinetic dataset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https://github.com/deepmind/kinetics-i3d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Tuned Model : T</w:t>
      </w:r>
      <w:r w:rsidDel="00000000" w:rsidR="00000000" w:rsidRPr="00000000">
        <w:rPr>
          <w:highlight w:val="white"/>
          <w:rtl w:val="0"/>
        </w:rPr>
        <w:t xml:space="preserve">he class number varies in our WLASL datset, only the last classification layer is modified in accordance with the class number.So, the last layer is replaced from 400 to 2000 neurons.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72050" cy="1700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Imp. Files: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Configuring Parameters: 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configfiles/asl2000.ini’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Pre-trained weights 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archived/asl2000/FINAL_nslt_2000_iters=5104_top1=32.48_top5=57.31_top10=66.31.pt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to COLAB: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https://colab.research.google.com/drive/1eGksOOM6U01e-Sryyl8wqImHPU5pgKj2?usp=sharing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Ref: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https://towardsdatascience.com/exercise-classification-with-machine-learning-part-ii-d60d1928f31d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Word-level Deep Sign Language Recognition from Video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The original I3D network is trained on ImageNet and fine-tuned on Kinetics-400. In order to model the temporal and spatial information of the sign language, such as focusing on the hand shapes and orientations as well as arm movements, we need to fine-tune the pre-trained I3D. In this way, the fine-tuned I3D can better capture the spatio-temporal information of signs. Since the class number varies in our WLASL subsets, only the last classification layer is modified in accordance with the class number.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eGksOOM6U01e-Sryyl8wqImHPU5pgKj2?usp=sharing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towardsdatascience.com/exercise-classification-with-machine-learning-part-ii-d60d1928f31d" TargetMode="External"/><Relationship Id="rId9" Type="http://schemas.openxmlformats.org/officeDocument/2006/relationships/hyperlink" Target="https://github.com/deepmind/kinetics-i3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xli94/WLASL" TargetMode="External"/><Relationship Id="rId7" Type="http://schemas.openxmlformats.org/officeDocument/2006/relationships/hyperlink" Target="https://deepmind.com/research/open-source/open-source-datasets/kinetics/" TargetMode="External"/><Relationship Id="rId8" Type="http://schemas.openxmlformats.org/officeDocument/2006/relationships/hyperlink" Target="https://medium.com/swlh/what-is-optical-flow-and-why-does-it-matter-in-deep-learning-b3278bb205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