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00000"/>
          <w:sz w:val="30"/>
        </w:rPr>
        <w:t>Response to Reviewers</w:t>
      </w:r>
    </w:p>
    <w:p>
      <w:pPr>
        <w:spacing w:after="160"/>
      </w:pPr>
      <w:r>
        <w:t>We thank the editor and reviewer for their constructive comments. We have revised the manuscript and response materials as summarized below.</w:t>
      </w:r>
    </w:p>
    <w:tbl>
      <w:tblPr>
        <w:tblW w:type="auto" w:w="0"/>
        <w:tblLayout w:type="fixed"/>
        <w:tblLook w:firstColumn="1" w:firstRow="1" w:lastColumn="0" w:lastRow="0" w:noHBand="0" w:noVBand="1" w:val="04A0"/>
      </w:tblPr>
      <w:tblGrid>
        <w:gridCol w:w="4752"/>
        <w:gridCol w:w="4752"/>
        <w:gridCol w:w="4752"/>
      </w:tblGrid>
      <w:tr>
        <w:trPr>
          <w:tblHeader w:val="true"/>
        </w:trPr>
        <w:tc>
          <w:tcPr>
            <w:tcW w:type="dxa" w:w="4536"/>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Reviewer's comment</w:t>
            </w:r>
          </w:p>
        </w:tc>
        <w:tc>
          <w:tcPr>
            <w:tcW w:type="dxa" w:w="7560"/>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Authors' response</w:t>
            </w:r>
          </w:p>
        </w:tc>
        <w:tc>
          <w:tcPr>
            <w:tcW w:type="dxa" w:w="2951"/>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Location in the revised manuscript</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Journal requirement: Provide a response letter, revised manuscript with tracked changes, and clean manuscript.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prepared a marked-up revised manuscript with tracked changes and an unmarked clean manuscript. We also prepared this point-by-point response table for upload as the Response to Reviewers file.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Revised Manuscript with Track Changes; clean revised Manuscript; this Response to Reviewers document.</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Journal requirement: Ensure code and data availability, including repository or DOI/accession information.</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expanded the Data Availability and reproducibility wording. Public source data are identified by GEO accessions GSE166297 and GSE260888. The manuscript now states that analysis scripts, figure source data, processed result files and software/session logs are available in the public GitHub repository at https://github.com/vajagathalimd/SSRI_neurodevelopment_transcriptomics.</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Data availability statement, p. 14; Methods: Visualization and reproducibility, p. 7.</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Journal requirement: Upload clearer copies of Figures 3, 4 and 5.</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will upload the high-resolution figure files separately with the revised submission. The manuscript figure captions were retained and revised where needed so that the figure panels are interpretable in the manuscript file.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Figure captions, pp. 20-22; separate high-resolution figure files in the manuscript figure package.</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Journal requirement: Include captions for Supporting Information files at the end of the manuscript.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added a Supporting information captions section at the end of the revised manuscript, covering Supplementary Figures 1-5 and Supplementary Tables 1-16.</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Supporting information captions, p. 30.</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Major Comment 1. The two exposure paradigms need defining and contextualizing. Define FLX_IC5 and FLX_IC20/100, add exposure concentrations and viability context to Table 1, discuss the different fluoxetine and citalopram exposure rationales, and acknowledge the absence of SLC6A4/SERT expression in the citalopram model.</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manuscript to define the fluoxetine IC terminology and concentrations clearly. Table 1 now includes the exposure concentration and selection basis for both datasets. The Methods explain that the fluoxetine conditions were selected from hNPT viability measurements, whereas the citalopram concentrations were selected to span in vivo-relevant exposure levels and did not significantly affect viability after 24 h. The Discussion now treats these different exposure-selection strategies as a plausible contributor to the weak cross-dataset concordance. We also added a SLC6A4/SERT caveat, noting that the citalopram neural differentiation model was reported not to express SERT and that shared signatures should therefore not be interpreted as evidence for a common SERT-mediated mechanism.</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Abstract, p. 2; Methods: Study design and GSE166297/GSE260888 dataset sections, pp. 4-6; Table 1, p. 23; Discussion and limitations, pp. 11-13.</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Major Comment 2. The citalopram reanalysis needs clearer description and a robustness check. The reviewer questioned the processed CPM/limma approach, requested comparison with featureCounts/edgeR results, clarification of contrast structure and per-contrast sample sizes.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replaced the previous processed-CPM/limma differential-expression analysis for citalopram with a raw featureCounts-based edgeR quasi-likelihood reanalysis, matching the statistical family used in the source study more closely. The revised Methods describe the raw-count files, sample identifier check, filtering with filterByExpr, TMM normalization, design matrix, quasi-likelihood fitting, day-matched pairwise contrasts and DEG thresholds. Table 2 now reports per-contrast treated and matched-control sample sizes, and the Results have been updated with the new citalopram DEG counts. We also added a robustness paragraph comparing the revised edgeR log2 fold-change estimates with the earlier processed-CPM/limma estimates, showing strong rank and linear concordance but sensitivity in thresholded DEG counts. The manuscript now explicitly states that the day-matched contrasts answer a different but complementary question from the source study's longitudinal dose-response models.</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Methods: Differential expression analysis of GSE260888, pp. 5-6; Results: Citalopram produces time- and dose-dependent transcriptional responses, p. 10; Table 1, p. 23; Table 2, pp. 23-24.</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Major Comment 3. The cross-SSRI overlap needs formal statistical support. Report all fluoxetine x citalopram comparisons, define strongest-pair selection, test overlaps against a null with correction, add threshold-free analysis, and test the duplicate gene-symbol mapping rule.</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cross-SSRI integration to include all 24 fluoxetine-citalopram contrast pairs. We added full-gene Pearson and Spearman correlations across the shared gene universe as a threshold-free assessment, and we report the actual correlation ranges in the Results. We then tested shared significant DEG overlap for each pair using hypergeometric tests with Benjamini-Hochberg correction across all 24 pairs. The strongest pairs are now defined by the corrected overlap statistics. We also repeated the overlap and correlation analysis after restricting both datasets to unambiguous one-to-one gene-symbol mappings. This sensitivity analysis retained the same significant overlap pairs and the same strongest pair, indicating that the main result was not driven by duplicate-gene collapse.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Methods: Cross-SSRI module and gene-level integration, pp. 7-8; Results: Cross-SSRI integration reveals weak global concordance but a focused shared downregulated subset, pp. 10-11; Table 4, pp. 27-29; Supplementary Tables 13-15.</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Major Comment 4. The modules and the fluoxetine model need fuller documentation. Document module construction, sources, sizes, overlap, dataset independence and competitive testing; specify the exact DESeq2 design, batch variable, low-expression filtering, QC and excluded samples; add module names to Table 3.</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expanded the module Methods to state that module membership was fixed before dataset scoring, was based on literature and established biological programs rather than the present DEG results, and contained no overlap between modules. The revised manuscript points to the updated Supplementary Table 6 for source rationale, input genes, expressed-gene matching and cross-module overlap. We added a size-matched random-set benchmark for module shifts and report that the GABAergic FLX_IC5 shift remained significant after this stricter benchmark. We also revised the fluoxetine differential-expression Methods to specify the DESeq2 design formula, batch variable, condition distribution across sequencing runs, low-expression filtering, QC outcome and sample inclusion. Table 3 now includes the module name in every row.</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Methods: Differential expression analysis of GSE166297 and Curated neurodevelopmental module scoring, pp. 5-7; Results: Fluoxetine module-score results and random-set benchmark, pp. 9-10; Table 3, pp. 25-26; Supplementary Tables 6, 7 and 16.</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Minor Comment 1. Reproducibility. Provide repository information, software versions, GRCh38 annotation information, and name the g:Profiler background universe and correction method.</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added a reproducibility paragraph naming the principal software versions used for the fluoxetine and citalopram analyses, including nf-core/rnaseq, Nextflow, Salmon, DESeq2, edgeR, limma and the GRCh38 NCBI iGenomes reference bundle. We also clarified that g:Profiler used organism hsapiens, annotated-domain background and the default g:SCS multiple-testing correction rather than Benjamini-Hochberg adjustment. The Data Availability statement now identifies the public GEO accessions and provides the public GitHub repository URL.</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Methods: Functional enrichment analysis, p. 6; Methods: Visualization and reproducibility, p. 7; Data availability statement, p. 14.</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Minor Comment 2. Figures and tables. Figures 3 and 5 are difficult to read, panels 5B and 5C cannot be evaluated, Figure 2A labels overlap, and Tables 3 and 4 use comma decimal separators or comma-formatted integer counts.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prepared the revised figure package for high-resolution upload and retained figure captions that describe the panels clearly. Table formatting was revised so Tables 3 and 4 use period decimal separators and integer counts render as plain integers. Table 3 now includes module identifiers in every row, and table continuation pages have repeated headers for readability.</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Figures 2-5, pp. 19-22; Table 3, pp. 25-26; Table 4, pp. 27-29.</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Minor Comment 3. Results presentation. Report actual weak correlation coefficients, comment on the non-monotonic citalopram pattern, and state the direction of the FLX_IC5 inflammatory/chemokine signalling result.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Results to report the full-gene Pearson and Spearman correlation ranges directly in the text. We added a short interpretation of the non-monotonic citalopram response pattern and linked it to the source study's modelling of non-linear and differentiation-stage-dependent responses. We also revised the fluoxetine module Results to state explicitly that inflammatory/chemokine signalling increased in FLX_IC5.</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Results: Fluoxetine module scores, p. 9; Results: Citalopram produces time- and dose-dependent transcriptional responses, p. 10; Results: Cross-SSRI integration, pp. 10-11.</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Minor Comment 4. Abstract and referencing. The 12,774 shared genes should be treated as an analysis universe rather than a result, and Hosseini et al. (2024), Tate et al. (2021) and both Fritsche et al. (2018) references should be cited in the body.</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revised the Abstract so the shared gene set is described as the shared analysis universe rather than as a primary biological finding. After the revised edgeR and gene-symbol harmonization workflow, the shared analysis universe is now 12,632 genes. We also cited Hosseini et al. (2024), Tate et al. (2021) and both Fritsche et al. (2018) entries in the Introduction where prior stem-cell and developmental neurotoxicity literature is discussed.</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Abstract, p. 2; Introduction, p. 3; References, pp. 15-17.</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