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00000"/>
          <w:sz w:val="30"/>
        </w:rPr>
        <w:t>Response to Reviewers</w:t>
      </w:r>
    </w:p>
    <w:p>
      <w:pPr>
        <w:spacing w:after="160"/>
      </w:pPr>
      <w:r>
        <w:t>We thank the editor and reviewer for their constructive comments. We have revised the manuscript and response materials as summarized below.</w:t>
      </w:r>
    </w:p>
    <w:tbl>
      <w:tblPr>
        <w:tblW w:type="auto" w:w="0"/>
        <w:tblLayout w:type="fixed"/>
        <w:tblLook w:firstColumn="1" w:firstRow="1" w:lastColumn="0" w:lastRow="0" w:noHBand="0" w:noVBand="1" w:val="04A0"/>
      </w:tblPr>
      <w:tblGrid>
        <w:gridCol w:w="4752"/>
        <w:gridCol w:w="4752"/>
        <w:gridCol w:w="4752"/>
      </w:tblGrid>
      <w:tr>
        <w:trPr>
          <w:tblHeader w:val="true"/>
        </w:trPr>
        <w:tc>
          <w:tcPr>
            <w:tcW w:type="dxa" w:w="4536"/>
            <w:shd w:fill="D9EAF7"/>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pacing w:after="40" w:line="240" w:lineRule="auto"/>
            </w:pPr>
            <w:r/>
            <w:r>
              <w:rPr>
                <w:rFonts w:ascii="Times New Roman" w:hAnsi="Times New Roman"/>
                <w:b/>
                <w:sz w:val="18"/>
              </w:rPr>
              <w:t>Reviewer's comment</w:t>
            </w:r>
          </w:p>
        </w:tc>
        <w:tc>
          <w:tcPr>
            <w:tcW w:type="dxa" w:w="7560"/>
            <w:shd w:fill="D9EAF7"/>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pacing w:after="40" w:line="240" w:lineRule="auto"/>
            </w:pPr>
            <w:r/>
            <w:r>
              <w:rPr>
                <w:rFonts w:ascii="Times New Roman" w:hAnsi="Times New Roman"/>
                <w:b/>
                <w:sz w:val="18"/>
              </w:rPr>
              <w:t>Authors' response</w:t>
            </w:r>
          </w:p>
        </w:tc>
        <w:tc>
          <w:tcPr>
            <w:tcW w:type="dxa" w:w="2951"/>
            <w:shd w:fill="D9EAF7"/>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vAlign w:val="center"/>
          </w:tcPr>
          <w:p>
            <w:pPr>
              <w:spacing w:after="40" w:line="240" w:lineRule="auto"/>
            </w:pPr>
            <w:r/>
            <w:r>
              <w:rPr>
                <w:rFonts w:ascii="Times New Roman" w:hAnsi="Times New Roman"/>
                <w:b/>
                <w:sz w:val="18"/>
              </w:rPr>
              <w:t>Location in the revised manuscript</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Journal requirement: Provide a response letter, revised manuscript with tracked changes, and clean manuscript.</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prepared a marked-up revised manuscript with tracked changes and an unmarked clean manuscript. We also prepared this point-by-point response table for upload as the Response to Reviewers file.</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Revised Manuscript with Track Changes; clean revised Manuscript; this Response to Reviewers document.</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Journal requirement: Ensure code and data availability, including repository or DOI/accession information.</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expanded the Data Availability and reproducibility wording. Public source data are identified by GEO accessions GSE166297 and GSE260888. The manuscript now states that analysis scripts, figure source data, processed result files and software/session logs are organized for permanent public repository deposition. The final repository DOI or accession should be inserted before resubmission once deposition is complete.</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Data availability statement, p. 14; Methods: Visualization and reproducibility, p. 7.</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Journal requirement: Upload clearer copies of Figures 3, 4 and 5.</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will upload the high-resolution figure files separately with the revised submission. The manuscript figure captions were retained and revised where needed so that the figure panels are interpretable in the manuscript file.</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Figure captions, pp. 20-22; separate high-resolution figure files in the manuscript figure package.</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Journal requirement: Include captions for Supporting Information files at the end of the manuscript.</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added a Supporting information captions section at the end of the revised manuscript, covering Supplementary Figures 1-5 and Supplementary Tables 1-16.</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Supporting information captions, p. 30.</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Major Comment 1. The two exposure paradigms need defining and contextualizing. Define FLX_IC5 and FLX_IC20/100, add exposure concentrations and viability context to Table 1, discuss the different fluoxetine and citalopram exposure rationales, and acknowledge the absence of SLC6A4/SERT expression in the citalopram model.</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revised the manuscript to define the fluoxetine IC terminology and concentrations clearly. Table 1 now includes the exposure concentration and selection basis for both datasets. The Methods explain that the fluoxetine conditions were selected from hNPT viability measurements, whereas the citalopram concentrations were selected to span in vivo-relevant exposure levels and did not significantly affect viability after 24 h. The Discussion now treats these different exposure-selection strategies as a plausible contributor to the weak cross-dataset concordance. We also added a SLC6A4/SERT caveat, noting that the citalopram neural differentiation model was reported not to express SERT and that shared signatures should therefore not be interpreted as evidence for a common SERT-mediated mechanism.</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Abstract, p. 2; Methods: Study design and GSE166297/GSE260888 dataset sections, pp. 4-6; Table 1, p. 23; Discussion and limitations, pp. 11-13.</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Major Comment 2. The citalopram reanalysis needs clearer description and a robustness check. The reviewer questioned the processed CPM/limma approach, requested comparison with featureCounts/edgeR results, clarification of contrast structure and per-contrast sample sizes.</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replaced the previous processed-CPM/limma differential-expression analysis for citalopram with a raw featureCounts-based edgeR quasi-likelihood reanalysis, matching the statistical family used in the source study more closely. The revised Methods describe the raw-count files, sample identifier check, filtering with filterByExpr, TMM normalization, design matrix, quasi-likelihood fitting, day-matched pairwise contrasts and DEG thresholds. Table 2 now reports per-contrast treated and matched-control sample sizes, and the Results have been updated with the new citalopram DEG counts. We also added a robustness paragraph comparing the revised edgeR log2 fold-change estimates with the earlier processed-CPM/limma estimates, showing strong rank and linear concordance but sensitivity in thresholded DEG counts. The manuscript now explicitly states that the day-matched contrasts answer a different but complementary question from the source study's longitudinal dose-response models.</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Methods: Differential expression analysis of GSE260888, pp. 5-6; Results: Citalopram produces time- and dose-dependent transcriptional responses, p. 10; Table 1, p. 23; Table 2, pp. 23-24.</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Major Comment 3. The cross-SSRI overlap needs formal statistical support. Report all fluoxetine x citalopram comparisons, define strongest-pair selection, test overlaps against a null with correction, add threshold-free analysis, and test the duplicate gene-symbol mapping rule.</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revised the cross-SSRI integration to include all 24 fluoxetine-citalopram contrast pairs. We added full-gene Pearson and Spearman correlations across the shared gene universe as a threshold-free assessment, and we report the actual correlation ranges in the Results. We then tested shared significant DEG overlap for each pair using hypergeometric tests with Benjamini-Hochberg correction across all 24 pairs. The strongest pairs are now defined by the corrected overlap statistics. We also repeated the overlap and correlation analysis after restricting both datasets to unambiguous one-to-one gene-symbol mappings. This sensitivity analysis retained the same significant overlap pairs and the same strongest pair, indicating that the main result was not driven by duplicate-gene collapse.</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Methods: Cross-SSRI module and gene-level integration, pp. 7-8; Results: Cross-SSRI integration reveals weak global concordance but a focused shared downregulated subset, pp. 10-11; Table 4, pp. 27-29; Supplementary Tables 13-15.</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Major Comment 4. The modules and the fluoxetine model need fuller documentation. Document module construction, sources, sizes, overlap, dataset independence and competitive testing; specify the exact DESeq2 design, batch variable, low-expression filtering, QC and excluded samples; add module names to Table 3.</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expanded the module Methods to state that module membership was fixed before dataset scoring, was based on literature and established biological programs rather than the present DEG results, and contained no overlap between modules. The revised manuscript points to the updated Supplementary Table 6 for source rationale, input genes, expressed-gene matching and cross-module overlap. We added a size-matched random-set benchmark for module shifts and report that the GABAergic FLX_IC5 shift remained significant after this stricter benchmark. We also revised the fluoxetine differential-expression Methods to specify the DESeq2 design formula, batch variable, condition distribution across sequencing runs, low-expression filtering, QC outcome and sample inclusion. Table 3 now includes the module name in every row.</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Methods: Differential expression analysis of GSE166297 and Curated neurodevelopmental module scoring, pp. 5-7; Results: Fluoxetine module-score results and random-set benchmark, pp. 9-10; Table 3, pp. 25-26; Supplementary Tables 6, 7 and 16.</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Minor Comment 1. Reproducibility. Provide repository information, software versions, GRCh38 annotation information, and name the g:Profiler background universe and correction method.</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added a reproducibility paragraph naming the principal software versions used for the fluoxetine and citalopram analyses, including nf-core/rnaseq, Nextflow, Salmon, DESeq2, edgeR, limma and the GRCh38 NCBI iGenomes reference bundle. We also clarified that g:Profiler used organism hsapiens, annotated-domain background and the default g:SCS multiple-testing correction rather than Benjamini-Hochberg adjustment. The Data Availability statement now identifies the public GEO accessions and notes that the repository DOI/accession must be inserted after permanent deposition.</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Methods: Functional enrichment analysis, p. 6; Methods: Visualization and reproducibility, p. 7; Data availability statement, p. 14.</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Minor Comment 2. Figures and tables. Figures 3 and 5 are difficult to read, panels 5B and 5C cannot be evaluated, Figure 2A labels overlap, and Tables 3 and 4 use comma decimal separators or comma-formatted integer counts.</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prepared the revised figure package for high-resolution upload and retained figure captions that describe the panels clearly. Table formatting was revised so Tables 3 and 4 use period decimal separators and integer counts render as plain integers. Table 3 now includes module identifiers in every row, and table continuation pages have repeated headers for readability.</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Figures 2-5, pp. 19-22; Table 3, pp. 25-26; Table 4, pp. 27-29.</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Minor Comment 3. Results presentation. Report actual weak correlation coefficients, comment on the non-monotonic citalopram pattern, and state the direction of the FLX_IC5 inflammatory/chemokine signalling result.</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We revised the Results to report the full-gene Pearson and Spearman correlation ranges directly in the text. We added a short interpretation of the non-monotonic citalopram response pattern and linked it to the source study's modelling of non-linear and differentiation-stage-dependent responses. We also revised the fluoxetine module Results to state explicitly that inflammatory/chemokine signalling increased in FLX_IC5.</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tcPr>
          <w:p>
            <w:pPr>
              <w:spacing w:after="40" w:line="240" w:lineRule="auto"/>
            </w:pPr>
            <w:r/>
            <w:r>
              <w:rPr>
                <w:rFonts w:ascii="Times New Roman" w:hAnsi="Times New Roman"/>
                <w:b w:val="0"/>
                <w:sz w:val="16"/>
              </w:rPr>
              <w:t>Results: Fluoxetine module scores, p. 9; Results: Citalopram produces time- and dose-dependent transcriptional responses, p. 10; Results: Cross-SSRI integration, pp. 10-11.</w:t>
            </w:r>
          </w:p>
        </w:tc>
      </w:tr>
      <w:tr>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Minor Comment 4. Abstract and referencing. The 12,774 shared genes should be treated as an analysis universe rather than a result, and Hosseini et al. (2024), Tate et al. (2021) and both Fritsche et al. (2018) references should be cited in the body.</w:t>
            </w:r>
          </w:p>
        </w:tc>
        <w:tc>
          <w:tcPr>
            <w:tcW w:type="dxa" w:w="75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We revised the Abstract so the shared gene set is described as the shared analysis universe rather than as a primary biological finding. After the revised edgeR and gene-symbol harmonization workflow, the shared analysis universe is now 12,632 genes. We also cited Hosseini et al. (2024), Tate et al. (2021) and both Fritsche et al. (2018) entries in the Introduction where prior stem-cell and developmental neurotoxicity literature is discussed.</w:t>
            </w:r>
          </w:p>
        </w:tc>
        <w:tc>
          <w:tcPr>
            <w:tcW w:type="dxa" w:w="29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top"/>
            <w:shd w:fill="F7F7F7"/>
          </w:tcPr>
          <w:p>
            <w:pPr>
              <w:spacing w:after="40" w:line="240" w:lineRule="auto"/>
            </w:pPr>
            <w:r/>
            <w:r>
              <w:rPr>
                <w:rFonts w:ascii="Times New Roman" w:hAnsi="Times New Roman"/>
                <w:b w:val="0"/>
                <w:sz w:val="16"/>
              </w:rPr>
              <w:t>Abstract, p. 2; Introduction, p. 3; References, pp. 15-17.</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