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emf" ContentType="image/x-emf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bidi w:val="0"/>
        <w:rPr>
          <w:rFonts w:ascii="sans-serif" w:hAnsi="sans-serif"/>
          <w:sz w:val="20"/>
          <w:lang w:val="en-US"/>
        </w:rPr>
      </w:pPr>
      <w:r>
        <w:rPr>
          <w:rFonts w:ascii="sans-serif" w:hAnsi="sans-serif"/>
          <w:sz w:val="20"/>
          <w:lang w:val="en-US"/>
        </w:rPr>
        <w:t>Remote searcher, local nodes: call of getDistance method on remote searcher requires nodes (the entire graph) to be transfered over network. Because NodeImpl is not remot</w:t>
      </w:r>
      <w:r>
        <w:rPr>
          <w:rFonts w:ascii="sans-serif" w:hAnsi="sans-serif"/>
          <w:sz w:val="20"/>
          <w:lang w:val="en-US"/>
        </w:rPr>
        <w:t>e</w:t>
      </w:r>
      <w:r>
        <w:rPr>
          <w:rFonts w:ascii="sans-serif" w:hAnsi="sans-serif"/>
          <w:sz w:val="20"/>
          <w:lang w:val="en-US"/>
        </w:rPr>
        <w:t>ly accessible it is serialized.</w:t>
      </w:r>
    </w:p>
    <w:p>
      <w:pPr>
        <w:pStyle w:val="Normal"/>
        <w:numPr>
          <w:ilvl w:val="0"/>
          <w:numId w:val="1"/>
        </w:numPr>
        <w:bidi w:val="0"/>
        <w:rPr>
          <w:rFonts w:ascii="sans-serif" w:hAnsi="sans-serif"/>
          <w:color w:val="000000"/>
          <w:sz w:val="20"/>
          <w:lang w:val="en-US"/>
        </w:rPr>
      </w:pPr>
      <w:r>
        <w:rPr>
          <w:rFonts w:ascii="sans-serif" w:hAnsi="sans-serif"/>
          <w:sz w:val="20"/>
          <w:lang w:val="en-US"/>
        </w:rPr>
        <w:t>Local searcher, remote nodes: local searcher access</w:t>
      </w:r>
      <w:r>
        <w:rPr>
          <w:rFonts w:ascii="sans-serif" w:hAnsi="sans-serif"/>
          <w:sz w:val="20"/>
          <w:lang w:val="en-US"/>
        </w:rPr>
        <w:t>es</w:t>
      </w:r>
      <w:r>
        <w:rPr>
          <w:rFonts w:ascii="sans-serif" w:hAnsi="sans-serif"/>
          <w:sz w:val="20"/>
          <w:lang w:val="en-US"/>
        </w:rPr>
        <w:t xml:space="preserve"> the nodes </w:t>
      </w:r>
      <w:r>
        <w:rPr>
          <w:rFonts w:ascii="sans-serif" w:hAnsi="sans-serif"/>
          <w:sz w:val="20"/>
          <w:lang w:val="en-US"/>
        </w:rPr>
        <w:t>by</w:t>
      </w:r>
      <w:r>
        <w:rPr>
          <w:rFonts w:ascii="sans-serif" w:hAnsi="sans-serif"/>
          <w:sz w:val="20"/>
          <w:lang w:val="en-US"/>
        </w:rPr>
        <w:t xml:space="preserve"> remote </w:t>
      </w:r>
      <w:r>
        <w:rPr>
          <w:rFonts w:ascii="sans-serif" w:hAnsi="sans-serif"/>
          <w:sz w:val="20"/>
          <w:lang w:val="en-US"/>
        </w:rPr>
        <w:t>reference.</w:t>
      </w:r>
      <w:r>
        <w:rPr>
          <w:rFonts w:ascii="sans-serif" w:hAnsi="sans-serif"/>
          <w:sz w:val="20"/>
          <w:lang w:val="en-US"/>
        </w:rPr>
        <w:t xml:space="preserve"> </w:t>
      </w:r>
      <w:r>
        <w:rPr>
          <w:rFonts w:ascii="sans-serif" w:hAnsi="sans-serif"/>
          <w:sz w:val="20"/>
          <w:lang w:val="en-US"/>
        </w:rPr>
        <w:t xml:space="preserve">This remote </w:t>
      </w:r>
      <w:r>
        <w:rPr>
          <w:rFonts w:ascii="sans-serif" w:hAnsi="sans-serif"/>
          <w:sz w:val="20"/>
          <w:lang w:val="en-US"/>
        </w:rPr>
        <w:t>reference</w:t>
      </w:r>
      <w:r>
        <w:rPr>
          <w:rFonts w:ascii="sans-serif" w:hAnsi="sans-serif"/>
          <w:sz w:val="20"/>
          <w:lang w:val="en-US"/>
        </w:rPr>
        <w:t xml:space="preserve"> does not contain any data. So when </w:t>
      </w:r>
      <w:r>
        <w:rPr>
          <w:rFonts w:ascii="Monospace" w:hAnsi="Monospace"/>
          <w:color w:val="000000"/>
          <w:sz w:val="20"/>
          <w:lang w:val="en-US"/>
        </w:rPr>
        <w:t>getNeighbors</w:t>
      </w:r>
      <w:r>
        <w:rPr>
          <w:rFonts w:ascii="sans-serif" w:hAnsi="sans-serif"/>
          <w:color w:val="000000"/>
          <w:sz w:val="20"/>
          <w:lang w:val="en-US"/>
        </w:rPr>
        <w:t xml:space="preserve"> is called </w:t>
      </w:r>
      <w:r>
        <w:rPr>
          <w:rFonts w:ascii="sans-serif" w:hAnsi="sans-serif"/>
          <w:color w:val="000000"/>
          <w:sz w:val="20"/>
          <w:lang w:val="en-US"/>
        </w:rPr>
        <w:t>neighbor</w:t>
      </w:r>
      <w:r>
        <w:rPr>
          <w:rFonts w:ascii="sans-serif" w:hAnsi="sans-serif"/>
          <w:color w:val="000000"/>
          <w:sz w:val="20"/>
          <w:lang w:val="en-US"/>
        </w:rPr>
        <w:t xml:space="preserve"> nodes are transfered from </w:t>
      </w:r>
      <w:r>
        <w:rPr>
          <w:rFonts w:ascii="sans-serif" w:hAnsi="sans-serif"/>
          <w:color w:val="000000"/>
          <w:sz w:val="20"/>
          <w:lang w:val="en-US"/>
        </w:rPr>
        <w:t xml:space="preserve">the </w:t>
      </w:r>
      <w:r>
        <w:rPr>
          <w:rFonts w:ascii="sans-serif" w:hAnsi="sans-serif"/>
          <w:color w:val="000000"/>
          <w:sz w:val="20"/>
          <w:lang w:val="en-US"/>
        </w:rPr>
        <w:t>server.</w:t>
      </w:r>
    </w:p>
    <w:p>
      <w:pPr>
        <w:pStyle w:val="Normal"/>
        <w:numPr>
          <w:ilvl w:val="0"/>
          <w:numId w:val="1"/>
        </w:numPr>
        <w:bidi w:val="0"/>
        <w:rPr>
          <w:rFonts w:ascii="sans-serif" w:hAnsi="sans-serif"/>
          <w:sz w:val="20"/>
          <w:lang w:val="en-US"/>
        </w:rPr>
      </w:pPr>
      <w:r>
        <w:rPr>
          <w:rFonts w:ascii="sans-serif" w:hAnsi="sans-serif"/>
          <w:sz w:val="20"/>
          <w:lang w:val="en-US"/>
        </w:rPr>
        <w:t xml:space="preserve">Remote searcher, remote nodes: </w:t>
      </w:r>
      <w:r>
        <w:rPr>
          <w:rFonts w:ascii="sans-serif" w:hAnsi="sans-serif"/>
          <w:sz w:val="20"/>
          <w:lang w:val="en-US"/>
        </w:rPr>
        <w:t xml:space="preserve">remote searcher assesses the nodes by remote </w:t>
      </w:r>
      <w:r>
        <w:rPr>
          <w:rFonts w:ascii="sans-serif" w:hAnsi="sans-serif"/>
          <w:sz w:val="20"/>
          <w:lang w:val="en-US"/>
        </w:rPr>
        <w:t>reference.</w:t>
      </w:r>
      <w:r>
        <w:rPr>
          <w:rFonts w:ascii="sans-serif" w:hAnsi="sans-serif"/>
          <w:sz w:val="20"/>
          <w:lang w:val="en-US"/>
        </w:rPr>
        <w:t xml:space="preserve"> When getNeighbors is called, request is sent to the client and from client back to the server which returns a set of nodes. This way is traversed back to client and </w:t>
      </w:r>
      <w:r>
        <w:rPr>
          <w:rFonts w:ascii="sans-serif" w:hAnsi="sans-serif"/>
          <w:sz w:val="20"/>
          <w:lang w:val="en-US"/>
        </w:rPr>
        <w:t>finally</w:t>
      </w:r>
      <w:r>
        <w:rPr>
          <w:rFonts w:ascii="sans-serif" w:hAnsi="sans-serif"/>
          <w:sz w:val="20"/>
          <w:lang w:val="en-US"/>
        </w:rPr>
        <w:t xml:space="preserve"> server.</w:t>
      </w:r>
    </w:p>
    <w:p>
      <w:pPr>
        <w:pStyle w:val="Normal"/>
        <w:bidi w:val="0"/>
        <w:rPr>
          <w:rFonts w:ascii="sans-serif" w:hAnsi="sans-serif"/>
          <w:sz w:val="20"/>
          <w:lang w:val="en-US"/>
        </w:rPr>
      </w:pPr>
      <w:r>
        <w:rPr>
          <w:rFonts w:ascii="sans-serif" w:hAnsi="sans-serif"/>
          <w:sz w:val="20"/>
          <w:lang w:val="en-US"/>
        </w:rPr>
      </w:r>
    </w:p>
    <w:p>
      <w:pPr>
        <w:pStyle w:val="Normal"/>
        <w:bidi w:val="0"/>
        <w:rPr>
          <w:rFonts w:ascii="sans-serif" w:hAnsi="sans-serif"/>
          <w:sz w:val="20"/>
          <w:lang w:val="en-US"/>
        </w:rPr>
      </w:pPr>
      <w:r>
        <w:rPr>
          <w:rFonts w:ascii="sans-serif" w:hAnsi="sans-serif"/>
          <w:sz w:val="20"/>
          <w:lang w:val="en-US"/>
        </w:rPr>
        <w:t xml:space="preserve">We have used random graph with 500 vertices and variable number of edges. Same graph for all mentioned methods has been generated. Following figure shows dependency of number of edges in a random graph and time of </w:t>
      </w:r>
      <w:r>
        <w:rPr>
          <w:rFonts w:ascii="Courier" w:hAnsi="Courier"/>
          <w:sz w:val="20"/>
          <w:lang w:val="en-US"/>
        </w:rPr>
        <w:t>getDistance()</w:t>
      </w:r>
      <w:r>
        <w:rPr>
          <w:rFonts w:ascii="sans-serif" w:hAnsi="sans-serif"/>
          <w:sz w:val="20"/>
          <w:lang w:val="en-US"/>
        </w:rPr>
        <w:t xml:space="preserve"> call for randomly </w:t>
      </w:r>
      <w:r>
        <w:rPr>
          <w:rFonts w:ascii="sans-serif" w:hAnsi="sans-serif"/>
          <w:sz w:val="20"/>
          <w:lang w:val="en-US"/>
        </w:rPr>
        <w:t>chosen</w:t>
      </w:r>
      <w:r>
        <w:rPr>
          <w:rFonts w:ascii="sans-serif" w:hAnsi="sans-serif"/>
          <w:sz w:val="20"/>
          <w:lang w:val="en-US"/>
        </w:rPr>
        <w:t xml:space="preserve"> nodes (for each methods the same nodes). </w:t>
      </w:r>
      <w:r>
        <w:rPr>
          <w:rFonts w:ascii="sans-serif" w:hAnsi="sans-serif"/>
          <w:sz w:val="20"/>
          <w:lang w:val="en-US"/>
        </w:rPr>
        <w:t>For each number of edges calculation has been performed 10 times and we took the average.</w:t>
      </w:r>
    </w:p>
    <w:p>
      <w:pPr>
        <w:pStyle w:val="Normal"/>
        <w:bidi w:val="0"/>
        <w:rPr>
          <w:rFonts w:ascii="Sans-serif" w:hAnsi="Sans-serif"/>
          <w:b/>
          <w:bCs/>
          <w:sz w:val="20"/>
          <w:szCs w:val="20"/>
          <w:lang w:val="en-US"/>
        </w:rPr>
      </w:pPr>
      <w:r>
        <w:rPr>
          <w:rFonts w:ascii="Sans-serif" w:hAnsi="Sans-serif"/>
          <w:b/>
          <w:bCs/>
          <w:sz w:val="20"/>
          <w:szCs w:val="20"/>
          <w:lang w:val="en-US"/>
        </w:rPr>
        <w:t>Legend: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drawing>
          <wp:inline distT="0" distB="0" distL="0" distR="0">
            <wp:extent cx="7034530" cy="515112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LSLN - Local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searcher, local nodes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LSRN - Local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searcher,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remote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nodes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RSLN -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Remote searcher, local nodes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RSRN -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Remote searcher,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remote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nodes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/>
          <w:bCs/>
          <w:sz w:val="20"/>
          <w:szCs w:val="20"/>
          <w:lang w:val="en-US"/>
        </w:rPr>
        <w:t>O</w:t>
      </w:r>
      <w:r>
        <w:rPr>
          <w:rFonts w:ascii="sans-serif" w:hAnsi="sans-serif"/>
          <w:b/>
          <w:bCs/>
          <w:sz w:val="20"/>
          <w:szCs w:val="20"/>
          <w:lang w:val="en-US"/>
        </w:rPr>
        <w:t>bservation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: Totally local search (LSLN) is the most efficient as nothing is transfered over network and nodes are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accessible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directly. Almost the same case is the RSLN method where the graph is  transfered over network and the searching is performed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locally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(but on the server).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This method would be 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useful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if server is a high performance computer while client is just regular personal computer.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 The performance of the last two methods (LSRN and RSRN) is decreased by the fact that every step to the next node in the backtracking algorithm is a call over network.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4"/>
          <w:szCs w:val="24"/>
          <w:lang w:val="en-US"/>
        </w:rPr>
      </w:pPr>
      <w:r>
        <w:rPr>
          <w:rFonts w:ascii="sans-serif" w:hAnsi="sans-serif"/>
          <w:b w:val="false"/>
          <w:bCs w:val="false"/>
          <w:sz w:val="24"/>
          <w:szCs w:val="24"/>
          <w:lang w:val="en-US"/>
        </w:rPr>
        <w:t>M</w:t>
      </w:r>
      <w:r>
        <w:rPr>
          <w:rFonts w:ascii="sans-serif" w:hAnsi="sans-serif"/>
          <w:b w:val="false"/>
          <w:bCs w:val="false"/>
          <w:sz w:val="24"/>
          <w:szCs w:val="24"/>
          <w:lang w:val="en-US"/>
        </w:rPr>
        <w:t>easured data:</w:t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52705</wp:posOffset>
            </wp:positionH>
            <wp:positionV relativeFrom="paragraph">
              <wp:posOffset>114300</wp:posOffset>
            </wp:positionV>
            <wp:extent cx="4220210" cy="3417570"/>
            <wp:effectExtent l="0" t="0" r="0" b="0"/>
            <wp:wrapTopAndBottom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b w:val="false"/>
          <w:bCs w:val="false"/>
          <w:sz w:val="20"/>
          <w:szCs w:val="20"/>
          <w:lang w:val="en-US"/>
        </w:rPr>
      </w:pP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>W</w:t>
      </w:r>
      <w:r>
        <w:rPr>
          <w:rFonts w:ascii="sans-serif" w:hAnsi="sans-serif"/>
          <w:b w:val="false"/>
          <w:bCs w:val="false"/>
          <w:sz w:val="20"/>
          <w:szCs w:val="20"/>
          <w:lang w:val="en-US"/>
        </w:rPr>
        <w:t xml:space="preserve">e have also measured times of </w:t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  <w:font w:name="Monospace">
    <w:charset w:val="01" w:characterSet="utf-8"/>
    <w:family w:val="auto"/>
    <w:pitch w:val="default"/>
  </w:font>
  <w:font w:name="Courier">
    <w:altName w:val="Courier New"/>
    <w:charset w:val="01" w:characterSet="utf-8"/>
    <w:family w:val="modern"/>
    <w:pitch w:val="fixed"/>
  </w:font>
  <w:font w:name="Sans-serif">
    <w:altName w:val="Arial"/>
    <w:charset w:val="01" w:characterSet="utf-8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Java RMI</w:t>
      <w:tab/>
      <w:tab/>
      <w:t>Ondrej Kováč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KaitiM GB" w:cs="Lohit Hind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KaitiM GB" w:cs="Lohit Hindi"/>
      <w:color w:val="auto"/>
      <w:sz w:val="24"/>
      <w:szCs w:val="24"/>
      <w:lang w:val="cs-CZ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KaitiM GB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LSLN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9"/>
                <c:pt idx="0">
                  <c:v>129.7</c:v>
                </c:pt>
                <c:pt idx="1">
                  <c:v>439.7</c:v>
                </c:pt>
                <c:pt idx="2">
                  <c:v>346.8</c:v>
                </c:pt>
                <c:pt idx="3">
                  <c:v>138.1</c:v>
                </c:pt>
                <c:pt idx="4">
                  <c:v>121.1</c:v>
                </c:pt>
                <c:pt idx="5">
                  <c:v>115</c:v>
                </c:pt>
                <c:pt idx="6">
                  <c:v>120.2</c:v>
                </c:pt>
                <c:pt idx="7">
                  <c:v>125.3</c:v>
                </c:pt>
                <c:pt idx="8">
                  <c:v>81.8</c:v>
                </c:pt>
                <c:pt idx="9">
                  <c:v>113.3</c:v>
                </c:pt>
                <c:pt idx="10">
                  <c:v>119.8</c:v>
                </c:pt>
                <c:pt idx="11">
                  <c:v>109.6</c:v>
                </c:pt>
                <c:pt idx="12">
                  <c:v>120.6</c:v>
                </c:pt>
                <c:pt idx="13">
                  <c:v>181.6</c:v>
                </c:pt>
                <c:pt idx="14">
                  <c:v>170.8</c:v>
                </c:pt>
                <c:pt idx="15">
                  <c:v>144.4</c:v>
                </c:pt>
                <c:pt idx="16">
                  <c:v>182.4</c:v>
                </c:pt>
                <c:pt idx="17">
                  <c:v>202.3</c:v>
                </c:pt>
                <c:pt idx="18">
                  <c:v>153.6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LSRN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9"/>
                <c:pt idx="0">
                  <c:v>2461.7</c:v>
                </c:pt>
                <c:pt idx="1">
                  <c:v>32689.8</c:v>
                </c:pt>
                <c:pt idx="2">
                  <c:v>45130.1</c:v>
                </c:pt>
                <c:pt idx="3">
                  <c:v>19510.9</c:v>
                </c:pt>
                <c:pt idx="4">
                  <c:v>14492.6</c:v>
                </c:pt>
                <c:pt idx="5">
                  <c:v>21552.5</c:v>
                </c:pt>
                <c:pt idx="6">
                  <c:v>24118.7</c:v>
                </c:pt>
                <c:pt idx="7">
                  <c:v>10495.3</c:v>
                </c:pt>
                <c:pt idx="8">
                  <c:v>24064.6</c:v>
                </c:pt>
                <c:pt idx="9">
                  <c:v>11221</c:v>
                </c:pt>
                <c:pt idx="10">
                  <c:v>27568.6</c:v>
                </c:pt>
                <c:pt idx="11">
                  <c:v>29659.3</c:v>
                </c:pt>
                <c:pt idx="12">
                  <c:v>21031.8</c:v>
                </c:pt>
                <c:pt idx="13">
                  <c:v>16698.4</c:v>
                </c:pt>
                <c:pt idx="14">
                  <c:v>23995.2</c:v>
                </c:pt>
                <c:pt idx="15">
                  <c:v>18276</c:v>
                </c:pt>
                <c:pt idx="16">
                  <c:v>21431.3</c:v>
                </c:pt>
                <c:pt idx="17">
                  <c:v>29944.5</c:v>
                </c:pt>
                <c:pt idx="18">
                  <c:v>30347.1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RSLN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9"/>
                <c:pt idx="0">
                  <c:v>957.7</c:v>
                </c:pt>
                <c:pt idx="1">
                  <c:v>8355.5</c:v>
                </c:pt>
                <c:pt idx="2">
                  <c:v>1446.8</c:v>
                </c:pt>
                <c:pt idx="3">
                  <c:v>1458.3</c:v>
                </c:pt>
                <c:pt idx="4">
                  <c:v>1638.1</c:v>
                </c:pt>
                <c:pt idx="5">
                  <c:v>1540.8</c:v>
                </c:pt>
                <c:pt idx="6">
                  <c:v>1665.1</c:v>
                </c:pt>
                <c:pt idx="7">
                  <c:v>1818.9</c:v>
                </c:pt>
                <c:pt idx="8">
                  <c:v>1905.6</c:v>
                </c:pt>
                <c:pt idx="9">
                  <c:v>1870</c:v>
                </c:pt>
                <c:pt idx="10">
                  <c:v>2020.3</c:v>
                </c:pt>
                <c:pt idx="11">
                  <c:v>2002.5</c:v>
                </c:pt>
                <c:pt idx="12">
                  <c:v>2112.2</c:v>
                </c:pt>
                <c:pt idx="13">
                  <c:v>2290</c:v>
                </c:pt>
                <c:pt idx="14">
                  <c:v>2606.7</c:v>
                </c:pt>
                <c:pt idx="15">
                  <c:v>2492.9</c:v>
                </c:pt>
                <c:pt idx="16">
                  <c:v>2596</c:v>
                </c:pt>
                <c:pt idx="17">
                  <c:v>2718.3</c:v>
                </c:pt>
                <c:pt idx="18">
                  <c:v>2616.6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RSRN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9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9"/>
                <c:pt idx="0">
                  <c:v>1892.3</c:v>
                </c:pt>
                <c:pt idx="1">
                  <c:v>16284</c:v>
                </c:pt>
                <c:pt idx="2">
                  <c:v>28131.8</c:v>
                </c:pt>
                <c:pt idx="3">
                  <c:v>30305.7</c:v>
                </c:pt>
                <c:pt idx="4">
                  <c:v>17111.8</c:v>
                </c:pt>
                <c:pt idx="5">
                  <c:v>14855</c:v>
                </c:pt>
                <c:pt idx="6">
                  <c:v>24136.7</c:v>
                </c:pt>
                <c:pt idx="7">
                  <c:v>21791.1</c:v>
                </c:pt>
                <c:pt idx="8">
                  <c:v>28623.2</c:v>
                </c:pt>
                <c:pt idx="9">
                  <c:v>22946</c:v>
                </c:pt>
                <c:pt idx="10">
                  <c:v>30560.2</c:v>
                </c:pt>
                <c:pt idx="11">
                  <c:v>24271.2</c:v>
                </c:pt>
                <c:pt idx="12">
                  <c:v>73404.5</c:v>
                </c:pt>
                <c:pt idx="13">
                  <c:v>13975.8</c:v>
                </c:pt>
                <c:pt idx="14">
                  <c:v>22679.2</c:v>
                </c:pt>
                <c:pt idx="15">
                  <c:v>23444.9</c:v>
                </c:pt>
                <c:pt idx="16">
                  <c:v>18886.9</c:v>
                </c:pt>
                <c:pt idx="17">
                  <c:v>25231.2</c:v>
                </c:pt>
                <c:pt idx="18">
                  <c:v>35732.6</c:v>
                </c:pt>
              </c:numCache>
            </c:numRef>
          </c:val>
        </c:ser>
        <c:marker val="1"/>
        <c:axId val="66638755"/>
        <c:axId val="98981480"/>
      </c:lineChart>
      <c:catAx>
        <c:axId val="66638755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/>
                  <a:t>Number of Edges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8981480"/>
        <c:crossesAt val="0"/>
        <c:auto val="1"/>
        <c:lblAlgn val="ctr"/>
        <c:lblOffset val="100"/>
      </c:catAx>
      <c:valAx>
        <c:axId val="989814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/>
                  <a:t>Time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6638755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4640</TotalTime>
  <Application>LibreOffice/4.2.1.1$Linux_x86 LibreOffice_project/420m0$Build-1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2014-03-13T10:54:28Z</dcterms:created>
  <dc:creator>Ondrej Kovac</dc:creator>
  <dc:language>cs-CZ</dc:language>
  <cp:lastModifiedBy>Ondrej Kovac</cp:lastModifiedBy>
  <dcterms:modified xsi:type="dcterms:W3CDTF">2014-03-13T12:27:32Z</dcterms:modified>
  <cp:revision>10</cp:revision>
</cp:coreProperties>
</file>