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Rule="auto" w:line="360"/>
        <w:ind w:firstLine="0"/>
        <w:jc w:val="left"/>
      </w:pPr>
      <w:r>
        <w:rPr>
          <w:rFonts w:ascii="Cambria Math" w:hAnsi="Cambria Math" w:eastAsia="方正小标宋简体"/>
          <w:b/>
          <w:sz w:val="44"/>
        </w:rPr>
        <w:t>基于深度学习的柑橘病害图像识别研究</w:t>
      </w:r>
    </w:p>
    <w:p/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>作者：李明</w:t>
      </w:r>
    </w:p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>日期：2026-05-20</w:t>
      </w:r>
    </w:p>
    <w:p/>
    <w:p>
      <w:pPr>
        <w:pStyle w:val="Heading4"/>
        <w:spacing w:before="240" w:after="120" w:lineRule="auto" w:line="360"/>
        <w:ind w:firstLine="0"/>
        <w:jc w:val="left"/>
      </w:pPr>
      <w:r>
        <w:rPr>
          <w:rFonts w:ascii="Cambria Math" w:hAnsi="Cambria Math" w:eastAsia="方正小标宋简体"/>
          <w:b/>
          <w:sz w:val="24"/>
        </w:rPr>
        <w:t>摘要</w:t>
      </w:r>
    </w:p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>针对柑橘种植中病害识别依赖人工经验、效率低的问题，本文构建了一种基于改进卷积神经网络的柑橘病害图像识别模型。在自建的 4 类病害图像数据集上，模型的识别准确率达到 95.3%，较基线模型提升 3.1 个百分点，可满足果园场景下的实时辅助诊断需求。</w:t>
      </w:r>
    </w:p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>关键词：深度学习, 柑橘病害, 图像识别, 卷积神经网络</w:t>
      </w:r>
    </w:p>
    <w:p>
      <w:r>
        <w:br w:type="page"/>
      </w:r>
    </w:p>
    <w:p>
      <w:pPr>
        <w:pStyle w:val="Heading1"/>
        <w:spacing w:before="240" w:after="120" w:lineRule="auto" w:line="360"/>
        <w:ind w:firstLine="0"/>
        <w:jc w:val="left"/>
      </w:pPr>
      <w:r>
        <w:rPr>
          <w:rFonts w:ascii="Cambria Math" w:hAnsi="Cambria Math" w:eastAsia="方正小标宋简体"/>
          <w:b/>
          <w:sz w:val="44"/>
        </w:rPr>
        <w:t>绪论</w:t>
      </w:r>
    </w:p>
    <w:p>
      <w:pPr>
        <w:pStyle w:val="Heading2"/>
        <w:spacing w:before="240" w:after="120" w:lineRule="auto" w:line="360"/>
        <w:ind w:firstLine="0"/>
        <w:jc w:val="left"/>
      </w:pPr>
      <w:r>
        <w:rPr>
          <w:rFonts w:ascii="Cambria Math" w:hAnsi="Cambria Math" w:eastAsia="方正小标宋简体"/>
          <w:b/>
          <w:sz w:val="32"/>
        </w:rPr>
        <w:t>研究背景</w:t>
      </w:r>
    </w:p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>柑橘是我国南方种植面积最大的水果作物之一，病害的早期识别直接影响产量与品质。传统识别方式依赖植保人员现场观察，主观性强、响应慢。随着深度学习在农业视觉中的应用不断深入，利用图像识别技术进行自动化病害诊断成为研究热点</w:t>
      </w:r>
      <w:r>
        <w:rPr>
          <w:rFonts w:ascii="Cambria Math" w:hAnsi="Cambria Math" w:eastAsia="仿宋"/>
          <w:b w:val="0"/>
          <w:sz w:val="32"/>
          <w:vertAlign w:val="superscript"/>
        </w:rPr>
        <w:t>[1]</w:t>
      </w:r>
      <w:r>
        <w:rPr>
          <w:rFonts w:ascii="Cambria Math" w:hAnsi="Cambria Math" w:eastAsia="仿宋"/>
          <w:b w:val="0"/>
          <w:sz w:val="32"/>
        </w:rPr>
        <w:t xml:space="preserve">。模型训练中常用的交叉熵损失函数为 </w:t>
      </w:r>
      <m:oMath>
        <m:r>
          <m:t>L</m:t>
        </m:r>
        <m:r>
          <m:t>=</m:t>
        </m:r>
        <m:r>
          <m:t>−</m:t>
        </m:r>
        <m:r>
          <m:t xml:space="preserve"> </m:t>
        </m:r>
        <m:r>
          <m:t>s</m:t>
        </m:r>
        <m:r>
          <m:t>u</m:t>
        </m:r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t xml:space="preserve"> </m:t>
        </m:r>
        <m:r>
          <m:t>l</m:t>
        </m:r>
        <m:r>
          <m:t>o</m:t>
        </m:r>
        <m:r>
          <m:t>g</m:t>
        </m:r>
        <m:r>
          <m:t xml:space="preserve"> </m:t>
        </m:r>
        <m:r>
          <m:t>h</m:t>
        </m:r>
        <m:r>
          <m:t>a</m:t>
        </m:r>
        <m:r>
          <m:t>t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Cambria Math" w:hAnsi="Cambria Math" w:eastAsia="仿宋"/>
          <w:b w:val="0"/>
          <w:sz w:val="32"/>
        </w:rPr>
        <w:t>，其梯度性质直接影响收敛速度。</w:t>
      </w:r>
    </w:p>
    <w:p>
      <w:pPr>
        <w:pStyle w:val="Heading2"/>
        <w:spacing w:before="240" w:after="120" w:lineRule="auto" w:line="360"/>
        <w:ind w:firstLine="0"/>
        <w:jc w:val="left"/>
      </w:pPr>
      <w:r>
        <w:rPr>
          <w:rFonts w:ascii="Cambria Math" w:hAnsi="Cambria Math" w:eastAsia="方正小标宋简体"/>
          <w:b/>
          <w:sz w:val="32"/>
        </w:rPr>
        <w:t>研究意义</w:t>
      </w:r>
    </w:p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>本研究的意义体现在三个方面：</w:t>
      </w:r>
    </w:p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 xml:space="preserve">1. </w:t>
      </w:r>
      <w:r>
        <w:rPr>
          <w:rFonts w:ascii="Cambria Math" w:hAnsi="Cambria Math" w:eastAsia="仿宋"/>
          <w:b w:val="0"/>
          <w:sz w:val="32"/>
        </w:rPr>
        <w:t>为果农提供低成本、可移动端部署的病害识别工具；</w:t>
      </w:r>
    </w:p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 xml:space="preserve">2. </w:t>
      </w:r>
      <w:r>
        <w:rPr>
          <w:rFonts w:ascii="Cambria Math" w:hAnsi="Cambria Math" w:eastAsia="仿宋"/>
          <w:b w:val="0"/>
          <w:sz w:val="32"/>
        </w:rPr>
        <w:t>为小样本农业图像场景下的模型改进提供参考；</w:t>
      </w:r>
    </w:p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 xml:space="preserve">3. </w:t>
      </w:r>
      <w:r>
        <w:rPr>
          <w:rFonts w:ascii="Cambria Math" w:hAnsi="Cambria Math" w:eastAsia="仿宋"/>
          <w:b w:val="0"/>
          <w:sz w:val="32"/>
        </w:rPr>
        <w:t>为后续与无人机巡检系统的集成奠定算法基础。</w:t>
      </w:r>
    </w:p>
    <w:p>
      <w:pPr>
        <w:pStyle w:val="Heading1"/>
        <w:spacing w:before="240" w:after="120" w:lineRule="auto" w:line="360"/>
        <w:ind w:firstLine="0"/>
        <w:jc w:val="left"/>
      </w:pPr>
      <w:r>
        <w:rPr>
          <w:rFonts w:ascii="Cambria Math" w:hAnsi="Cambria Math" w:eastAsia="方正小标宋简体"/>
          <w:b/>
          <w:sz w:val="44"/>
        </w:rPr>
        <w:t>实验设计</w:t>
      </w:r>
    </w:p>
    <w:p>
      <w:pPr>
        <w:pStyle w:val="Heading2"/>
        <w:spacing w:before="240" w:after="120" w:lineRule="auto" w:line="360"/>
        <w:ind w:firstLine="0"/>
        <w:jc w:val="left"/>
      </w:pPr>
      <w:r>
        <w:rPr>
          <w:rFonts w:ascii="Cambria Math" w:hAnsi="Cambria Math" w:eastAsia="方正小标宋简体"/>
          <w:b/>
          <w:sz w:val="32"/>
        </w:rPr>
        <w:t>数据集与预处理</w:t>
      </w:r>
    </w:p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>自建数据集包含健康叶片与 4 类常见病害图像共 6200 张，按 8:1:1 划分训练集、验证集与测试集。病害样本分布参考了农村电商物流研究中的区域采样思路</w:t>
      </w:r>
      <w:r>
        <w:rPr>
          <w:rFonts w:ascii="Cambria Math" w:hAnsi="Cambria Math" w:eastAsia="仿宋"/>
          <w:b w:val="0"/>
          <w:sz w:val="32"/>
          <w:vertAlign w:val="superscript"/>
        </w:rPr>
        <w:t>[2]</w:t>
      </w:r>
      <w:r>
        <w:rPr>
          <w:rFonts w:ascii="Cambria Math" w:hAnsi="Cambria Math" w:eastAsia="仿宋"/>
          <w:b w:val="0"/>
          <w:sz w:val="32"/>
        </w:rPr>
        <w:t>。</w:t>
      </w:r>
    </w:p>
    <w:p>
      <w:pPr>
        <w:pStyle w:val="Heading2"/>
        <w:spacing w:before="240" w:after="120" w:lineRule="auto" w:line="360"/>
        <w:ind w:firstLine="0"/>
        <w:jc w:val="left"/>
      </w:pPr>
      <w:r>
        <w:rPr>
          <w:rFonts w:ascii="Cambria Math" w:hAnsi="Cambria Math" w:eastAsia="方正小标宋简体"/>
          <w:b/>
          <w:sz w:val="32"/>
        </w:rPr>
        <w:t>实验结果</w:t>
      </w:r>
    </w:p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>改进模型与基线模型在测试集上的对比如下：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929"/>
        <w:gridCol w:w="2929"/>
        <w:gridCol w:w="2929"/>
      </w:tblGrid>
      <w:tr>
        <w:trPr>
          <w:cantSplit/>
        </w:trPr>
        <w:tc>
          <w:tcPr>
            <w:tcW w:type="dxa" w:w="2929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  <w:top w:val="single" w:sz="6" w:space="0" w:color="000000"/>
              <w:bottom w:val="single" w:sz="6" w:space="0" w:color="000000"/>
            </w:tcBorders>
            <w:noWrap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仿宋"/>
                <w:b/>
                <w:sz w:val="20"/>
              </w:rPr>
              <w:t>模型</w:t>
            </w:r>
          </w:p>
        </w:tc>
        <w:tc>
          <w:tcPr>
            <w:tcW w:type="dxa" w:w="2929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  <w:top w:val="single" w:sz="6" w:space="0" w:color="000000"/>
              <w:bottom w:val="single" w:sz="6" w:space="0" w:color="000000"/>
            </w:tcBorders>
            <w:noWrap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仿宋"/>
                <w:b/>
                <w:sz w:val="20"/>
              </w:rPr>
              <w:t>准确率</w:t>
            </w:r>
          </w:p>
        </w:tc>
        <w:tc>
          <w:tcPr>
            <w:tcW w:type="dxa" w:w="2929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  <w:top w:val="single" w:sz="6" w:space="0" w:color="000000"/>
              <w:bottom w:val="single" w:sz="6" w:space="0" w:color="000000"/>
            </w:tcBorders>
            <w:noWrap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仿宋"/>
                <w:b/>
                <w:sz w:val="20"/>
              </w:rPr>
              <w:t>召回率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仿宋"/>
                <w:sz w:val="20"/>
              </w:rPr>
              <w:t>ResNet-50 基线</w:t>
            </w:r>
          </w:p>
        </w:tc>
        <w:tc>
          <w:tcPr>
            <w:tcW w:type="dxa" w:w="2929"/>
            <w:noWrap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仿宋"/>
                <w:sz w:val="20"/>
              </w:rPr>
              <w:t>0.922</w:t>
            </w:r>
          </w:p>
        </w:tc>
        <w:tc>
          <w:tcPr>
            <w:tcW w:type="dxa" w:w="2929"/>
            <w:noWrap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仿宋"/>
                <w:sz w:val="20"/>
              </w:rPr>
              <w:t>0.915</w:t>
            </w:r>
          </w:p>
        </w:tc>
      </w:tr>
      <w:tr>
        <w:trPr>
          <w:cantSplit/>
        </w:trPr>
        <w:tc>
          <w:tcPr>
            <w:tcW w:type="dxa" w:w="2929"/>
            <w:tcBorders>
              <w:top w:val="none" w:sz="0" w:space="0" w:color="auto"/>
              <w:bottom w:val="single" w:sz="12" w:space="0" w:color="000000"/>
              <w:left w:val="none" w:sz="0" w:space="0" w:color="auto"/>
              <w:right w:val="none" w:sz="0" w:space="0" w:color="auto"/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Cambria Math" w:hAnsi="Cambria Math" w:eastAsia="仿宋"/>
                <w:sz w:val="20"/>
              </w:rPr>
              <w:t>本文改进模型</w:t>
            </w:r>
          </w:p>
        </w:tc>
        <w:tc>
          <w:tcPr>
            <w:tcW w:type="dxa" w:w="2929"/>
            <w:tcBorders>
              <w:top w:val="none" w:sz="0" w:space="0" w:color="auto"/>
              <w:bottom w:val="single" w:sz="12" w:space="0" w:color="000000"/>
              <w:left w:val="none" w:sz="0" w:space="0" w:color="auto"/>
              <w:right w:val="none" w:sz="0" w:space="0" w:color="auto"/>
              <w:bottom w:val="single" w:sz="6" w:space="0" w:color="000000"/>
            </w:tcBorders>
            <w:noWrap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仿宋"/>
                <w:sz w:val="20"/>
              </w:rPr>
              <w:t>0.953</w:t>
            </w:r>
          </w:p>
        </w:tc>
        <w:tc>
          <w:tcPr>
            <w:tcW w:type="dxa" w:w="2929"/>
            <w:tcBorders>
              <w:top w:val="none" w:sz="0" w:space="0" w:color="auto"/>
              <w:bottom w:val="single" w:sz="12" w:space="0" w:color="000000"/>
              <w:left w:val="none" w:sz="0" w:space="0" w:color="auto"/>
              <w:right w:val="none" w:sz="0" w:space="0" w:color="auto"/>
              <w:bottom w:val="single" w:sz="6" w:space="0" w:color="000000"/>
            </w:tcBorders>
            <w:noWrap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仿宋"/>
                <w:sz w:val="20"/>
              </w:rPr>
              <w:t>0.948</w:t>
            </w:r>
          </w:p>
        </w:tc>
      </w:tr>
    </w:tbl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>表 2-1</w:t>
      </w:r>
    </w:p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>评价指标中，准确率的计算方式为：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60000"/>
        <w:gridCol w:w="4860000"/>
        <w:gridCol w:w="360000"/>
      </w:tblGrid>
      <w:tr>
        <w:trPr>
          <w:cantSplit/>
        </w:trPr>
        <w:tc>
          <w:tcPr>
            <w:tcW w:type="dxa" w:w="2929"/>
            <w:noWrap/>
            <w:tcBorders>
              <w:top w:val="single" w:sz="6" w:space="0" w:color="000000"/>
              <w:bottom w:val="single" w:sz="6" w:space="0" w:color="000000"/>
              <w:bottom w:val="single" w:sz="6" w:space="0" w:color="000000"/>
            </w:tcBorders>
          </w:tcPr>
          <w:p>
            <w:pPr>
              <w:jc w:val="center"/>
            </w:pPr>
          </w:p>
        </w:tc>
        <w:tc>
          <w:tcPr>
            <w:tcW w:type="dxa" w:w="2929"/>
            <w:noWrap/>
            <w:tcBorders>
              <w:top w:val="single" w:sz="6" w:space="0" w:color="000000"/>
              <w:bottom w:val="single" w:sz="6" w:space="0" w:color="000000"/>
              <w:bottom w:val="single" w:sz="6" w:space="0" w:color="000000"/>
            </w:tcBorders>
          </w:tcPr>
          <w:p>
            <w:pPr>
              <w:ind w:firstLine="0"/>
              <w:jc w:val="center"/>
            </w:pPr>
            <m:oMath>
              <m:r>
                <m:t xml:space="preserve"> </m:t>
              </m:r>
              <m:r>
                <m:t>t</m:t>
              </m:r>
              <m:r>
                <m:t>e</m:t>
              </m:r>
              <m:r>
                <m:t>x</m:t>
              </m:r>
              <m:r>
                <m:t>t</m:t>
              </m:r>
              <m:r>
                <m:t>A</m:t>
              </m:r>
              <m:r>
                <m:t>c</m:t>
              </m:r>
              <m:r>
                <m:t>c</m:t>
              </m:r>
              <m:r>
                <m:t>=</m:t>
              </m:r>
              <m:r>
                <m:t xml:space="preserve"> </m:t>
              </m:r>
              <m:r>
                <m:t>f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P</m:t>
              </m:r>
              <m:r>
                <m:t>+</m:t>
              </m:r>
              <m:r>
                <m:t>T</m:t>
              </m:r>
              <m:r>
                <m:t>N</m:t>
              </m:r>
              <m:r>
                <m:t>T</m:t>
              </m:r>
              <m:r>
                <m:t>P</m:t>
              </m:r>
              <m:r>
                <m:t>+</m:t>
              </m:r>
              <m:r>
                <m:t>T</m:t>
              </m:r>
              <m:r>
                <m:t>N</m:t>
              </m:r>
              <m:r>
                <m:t>+</m:t>
              </m:r>
              <m:r>
                <m:t>F</m:t>
              </m:r>
              <m:r>
                <m:t>P</m:t>
              </m:r>
              <m:r>
                <m:t>+</m:t>
              </m:r>
              <m:r>
                <m:t>F</m:t>
              </m:r>
              <m:r>
                <m:t>N</m:t>
              </m:r>
            </m:oMath>
          </w:p>
        </w:tc>
        <w:tc>
          <w:tcPr>
            <w:tcW w:type="dxa" w:w="2929"/>
            <w:noWrap/>
            <w:tcBorders>
              <w:top w:val="single" w:sz="6" w:space="0" w:color="000000"/>
              <w:bottom w:val="single" w:sz="6" w:space="0" w:color="000000"/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Cambria Math" w:hAnsi="Cambria Math" w:eastAsia="仿宋"/>
                <w:sz w:val="20"/>
              </w:rPr>
              <w:t>(1)</w:t>
            </w:r>
          </w:p>
        </w:tc>
      </w:tr>
    </w:tbl>
    <w:p>
      <w:pPr>
        <w:pStyle w:val="Heading1"/>
        <w:spacing w:before="240" w:after="120" w:lineRule="auto" w:line="360"/>
        <w:ind w:firstLine="0"/>
        <w:jc w:val="left"/>
      </w:pPr>
      <w:r>
        <w:rPr>
          <w:rFonts w:ascii="Cambria Math" w:hAnsi="Cambria Math" w:eastAsia="方正小标宋简体"/>
          <w:b/>
          <w:sz w:val="44"/>
        </w:rPr>
        <w:t>结论</w:t>
      </w:r>
    </w:p>
    <w:p>
      <w:pPr>
        <w:spacing w:lineRule="auto" w:line="360" w:before="0" w:after="0"/>
        <w:ind w:firstLine="397"/>
        <w:jc w:val="both"/>
      </w:pPr>
      <w:r>
        <w:rPr>
          <w:rFonts w:ascii="Cambria Math" w:hAnsi="Cambria Math" w:eastAsia="仿宋"/>
          <w:b w:val="0"/>
          <w:sz w:val="32"/>
        </w:rPr>
        <w:t>本文提出的改进模型在柑橘病害识别任务上取得了 95.3% 的准确率。后续工作将围绕移动端轻量化部署与更多病害类别的扩展展开。</w:t>
      </w:r>
    </w:p>
    <w:p>
      <w:pPr>
        <w:pStyle w:val="Heading1"/>
        <w:spacing w:before="240" w:after="120" w:lineRule="auto" w:line="360"/>
        <w:ind w:firstLine="0"/>
        <w:jc w:val="left"/>
      </w:pPr>
      <w:r>
        <w:rPr>
          <w:rFonts w:ascii="Cambria Math" w:hAnsi="Cambria Math" w:eastAsia="方正小标宋简体"/>
          <w:b/>
          <w:sz w:val="44"/>
        </w:rPr>
        <w:t>参考文献</w:t>
      </w:r>
    </w:p>
    <w:p>
      <w:pPr>
        <w:spacing w:lineRule="auto" w:line="360"/>
        <w:ind w:firstLine="0" w:left="420"/>
        <w:jc w:val="left"/>
      </w:pPr>
      <w:r>
        <w:rPr>
          <w:rFonts w:ascii="Cambria Math" w:hAnsi="Cambria Math" w:eastAsia="仿宋"/>
          <w:sz w:val="20"/>
          <w:vertAlign w:val="superscript"/>
        </w:rPr>
        <w:t>[1]</w:t>
      </w:r>
      <w:r>
        <w:rPr>
          <w:rFonts w:ascii="Cambria Math" w:hAnsi="Cambria Math" w:eastAsia="仿宋"/>
          <w:sz w:val="20"/>
        </w:rPr>
        <w:t xml:space="preserve"> 张三, 李四, 王五, 等. 基于深度学习的柑橘病害图像识别方法[J]. 农业工程学报, 2023, 39(12): 100-108.</w:t>
      </w:r>
    </w:p>
    <w:p>
      <w:pPr>
        <w:spacing w:lineRule="auto" w:line="360"/>
        <w:ind w:firstLine="0" w:left="420"/>
        <w:jc w:val="left"/>
      </w:pPr>
      <w:r>
        <w:rPr>
          <w:rFonts w:ascii="Cambria Math" w:hAnsi="Cambria Math" w:eastAsia="仿宋"/>
          <w:sz w:val="20"/>
          <w:vertAlign w:val="superscript"/>
        </w:rPr>
        <w:t>[2]</w:t>
      </w:r>
      <w:r>
        <w:rPr>
          <w:rFonts w:ascii="Cambria Math" w:hAnsi="Cambria Math" w:eastAsia="仿宋"/>
          <w:sz w:val="20"/>
        </w:rPr>
        <w:t xml:space="preserve"> 王芳. 乡村振兴战略下农村电商物流路径优化研究[D]. 武汉: 武汉理工大学, 2024.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="397"/>
      <w:jc w:val="both"/>
    </w:pPr>
    <w:rPr>
      <w:rFonts w:ascii="Cambria Math" w:hAnsi="Cambria Math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left"/>
      <w:outlineLvl w:val="0"/>
    </w:pPr>
    <w:rPr>
      <w:rFonts w:asciiTheme="majorHAnsi" w:eastAsiaTheme="majorEastAsia" w:hAnsiTheme="majorHAnsi" w:cstheme="majorBidi" w:ascii="Cambria Math" w:hAnsi="Cambria Math" w:eastAsia="方正小标宋简体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asciiTheme="majorHAnsi" w:eastAsiaTheme="majorEastAsia" w:hAnsiTheme="majorHAnsi" w:cstheme="majorBidi" w:ascii="Cambria Math" w:hAnsi="Cambria Math" w:eastAsia="方正小标宋简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2"/>
    </w:pPr>
    <w:rPr>
      <w:rFonts w:asciiTheme="majorHAnsi" w:eastAsiaTheme="majorEastAsia" w:hAnsiTheme="majorHAnsi" w:cstheme="majorBidi" w:ascii="Cambria Math" w:hAnsi="Cambria Math" w:eastAsia="方正小标宋简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jc w:val="left"/>
      <w:outlineLvl w:val="3"/>
    </w:pPr>
    <w:rPr>
      <w:rFonts w:asciiTheme="majorHAnsi" w:eastAsiaTheme="majorEastAsia" w:hAnsiTheme="majorHAnsi" w:cstheme="majorBidi" w:ascii="Cambria Math" w:hAnsi="Cambria Math" w:eastAsia="方正小标宋简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