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Cambria Math" w:hAnsi="Cambria Math" w:eastAsia="SimHei"/>
          <w:b/>
          <w:sz w:val="44"/>
        </w:rPr>
        <w:t>基于深度学习的柑橘病害图像识别研究</w:t>
      </w:r>
    </w:p>
    <w:p/>
    <w:p>
      <w:pPr>
        <w:ind w:firstLine="0"/>
        <w:jc w:val="center"/>
      </w:pPr>
      <w:r>
        <w:rPr>
          <w:rFonts w:ascii="Cambria Math" w:hAnsi="Cambria Math" w:eastAsia="SimSun"/>
          <w:sz w:val="24"/>
        </w:rPr>
        <w:t>作者：李明</w:t>
      </w:r>
    </w:p>
    <w:p>
      <w:pPr>
        <w:ind w:firstLine="0"/>
        <w:jc w:val="center"/>
      </w:pPr>
      <w:r>
        <w:rPr>
          <w:rFonts w:ascii="Cambria Math" w:hAnsi="Cambria Math" w:eastAsia="SimSun"/>
          <w:sz w:val="24"/>
        </w:rPr>
        <w:t>日期：2026-05-20</w:t>
      </w:r>
    </w:p>
    <w:p/>
    <w:p>
      <w:pPr>
        <w:ind w:firstLine="0"/>
        <w:jc w:val="left"/>
      </w:pPr>
      <w:r>
        <w:rPr>
          <w:rFonts w:ascii="Cambria Math" w:hAnsi="Cambria Math" w:eastAsia="SimHei"/>
          <w:b/>
          <w:sz w:val="24"/>
        </w:rPr>
        <w:t>摘要</w:t>
      </w:r>
    </w:p>
    <w:p>
      <w:pPr>
        <w:ind w:firstLine="397"/>
      </w:pPr>
      <w:r>
        <w:rPr>
          <w:rFonts w:ascii="Cambria Math" w:hAnsi="Cambria Math" w:eastAsia="SimSun"/>
          <w:sz w:val="24"/>
        </w:rPr>
        <w:t>针对柑橘种植中病害识别依赖人工经验、效率低的问题，本文构建了一种基于改进卷积神经网络的柑橘病害图像识别模型。在自建的 4 类病害图像数据集上，模型的识别准确率达到 95.3%，较基线模型提升 3.1 个百分点，可满足果园场景下的实时辅助诊断需求。</w:t>
      </w:r>
    </w:p>
    <w:p>
      <w:pPr>
        <w:ind w:firstLine="0"/>
      </w:pPr>
      <w:r>
        <w:rPr>
          <w:rFonts w:ascii="Cambria Math" w:hAnsi="Cambria Math" w:eastAsia="SimSun"/>
          <w:sz w:val="24"/>
        </w:rPr>
        <w:t>关键词：深度学习, 柑橘病害, 图像识别, 卷积神经网络</w:t>
      </w:r>
    </w:p>
    <w:p>
      <w:r>
        <w:br w:type="page"/>
      </w:r>
    </w:p>
    <w:p>
      <w:pPr>
        <w:pStyle w:val="Heading1"/>
      </w:pPr>
      <w:r>
        <w:rPr>
          <w:rFonts w:ascii="Cambria Math" w:hAnsi="Cambria Math" w:eastAsia="SimSun"/>
          <w:sz w:val="24"/>
        </w:rPr>
        <w:t>绪论</w:t>
      </w:r>
    </w:p>
    <w:p>
      <w:pPr>
        <w:pStyle w:val="Heading2"/>
      </w:pPr>
      <w:r>
        <w:rPr>
          <w:rFonts w:ascii="Cambria Math" w:hAnsi="Cambria Math" w:eastAsia="SimSun"/>
          <w:sz w:val="24"/>
        </w:rPr>
        <w:t>研究背景</w:t>
      </w:r>
    </w:p>
    <w:p>
      <w:r>
        <w:rPr>
          <w:rFonts w:ascii="Cambria Math" w:hAnsi="Cambria Math" w:eastAsia="SimSun"/>
          <w:sz w:val="24"/>
        </w:rPr>
        <w:t>柑橘是我国南方种植面积最大的水果作物之一，病害的早期识别直接影响产量与品质。传统识别方式依赖植保人员现场观察，主观性强、响应慢。随着深度学习在农业视觉中的应用不断深入，利用图像识别技术进行自动化病害诊断成为研究热点</w:t>
      </w:r>
      <w:r>
        <w:rPr>
          <w:rFonts w:ascii="Cambria Math" w:hAnsi="Cambria Math" w:eastAsia="SimSun"/>
          <w:sz w:val="24"/>
          <w:vertAlign w:val="superscript"/>
        </w:rPr>
        <w:t>[1]</w:t>
      </w:r>
      <w:r>
        <w:rPr>
          <w:rFonts w:ascii="Cambria Math" w:hAnsi="Cambria Math" w:eastAsia="SimSun"/>
          <w:sz w:val="24"/>
        </w:rPr>
        <w:t xml:space="preserve">。模型训练中常用的交叉熵损失函数为 </w:t>
      </w:r>
      <m:oMath>
        <m:r>
          <m:t>L</m:t>
        </m:r>
        <m:r>
          <m:t>=</m:t>
        </m:r>
        <m:r>
          <m:t>−</m:t>
        </m:r>
        <m:r>
          <m:t xml:space="preserve"> </m:t>
        </m:r>
        <m:r>
          <m:t>s</m:t>
        </m:r>
        <m:r>
          <m:t>u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t xml:space="preserve"> </m:t>
        </m:r>
        <m:r>
          <m:t>l</m:t>
        </m:r>
        <m:r>
          <m:t>o</m:t>
        </m:r>
        <m:r>
          <m:t>g</m:t>
        </m:r>
        <m:r>
          <m:t xml:space="preserve"> </m:t>
        </m:r>
        <m:r>
          <m:t>h</m:t>
        </m:r>
        <m:r>
          <m:t>a</m:t>
        </m:r>
        <m:r>
          <m:t>t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mbria Math" w:hAnsi="Cambria Math" w:eastAsia="SimSun"/>
          <w:sz w:val="24"/>
        </w:rPr>
        <w:t>，其梯度性质直接影响收敛速度。</w:t>
      </w:r>
    </w:p>
    <w:p>
      <w:pPr>
        <w:pStyle w:val="Heading2"/>
      </w:pPr>
      <w:r>
        <w:rPr>
          <w:rFonts w:ascii="Cambria Math" w:hAnsi="Cambria Math" w:eastAsia="SimSun"/>
          <w:sz w:val="24"/>
        </w:rPr>
        <w:t>研究意义</w:t>
      </w:r>
    </w:p>
    <w:p>
      <w:r>
        <w:rPr>
          <w:rFonts w:ascii="Cambria Math" w:hAnsi="Cambria Math" w:eastAsia="SimSun"/>
          <w:sz w:val="24"/>
        </w:rPr>
        <w:t>本研究的意义体现在三个方面：</w:t>
      </w:r>
    </w:p>
    <w:p>
      <w:r>
        <w:t xml:space="preserve">1. </w:t>
      </w:r>
      <w:r>
        <w:rPr>
          <w:rFonts w:ascii="Cambria Math" w:hAnsi="Cambria Math" w:eastAsia="SimSun"/>
          <w:sz w:val="24"/>
        </w:rPr>
        <w:t>为果农提供低成本、可移动端部署的病害识别工具；</w:t>
      </w:r>
    </w:p>
    <w:p>
      <w:r>
        <w:t xml:space="preserve">2. </w:t>
      </w:r>
      <w:r>
        <w:rPr>
          <w:rFonts w:ascii="Cambria Math" w:hAnsi="Cambria Math" w:eastAsia="SimSun"/>
          <w:sz w:val="24"/>
        </w:rPr>
        <w:t>为小样本农业图像场景下的模型改进提供参考；</w:t>
      </w:r>
    </w:p>
    <w:p>
      <w:r>
        <w:t xml:space="preserve">3. </w:t>
      </w:r>
      <w:r>
        <w:rPr>
          <w:rFonts w:ascii="Cambria Math" w:hAnsi="Cambria Math" w:eastAsia="SimSun"/>
          <w:sz w:val="24"/>
        </w:rPr>
        <w:t>为后续与无人机巡检系统的集成奠定算法基础。</w:t>
      </w:r>
    </w:p>
    <w:p>
      <w:pPr>
        <w:pStyle w:val="Heading1"/>
      </w:pPr>
      <w:r>
        <w:rPr>
          <w:rFonts w:ascii="Cambria Math" w:hAnsi="Cambria Math" w:eastAsia="SimSun"/>
          <w:sz w:val="24"/>
        </w:rPr>
        <w:t>实验设计</w:t>
      </w:r>
    </w:p>
    <w:p>
      <w:pPr>
        <w:pStyle w:val="Heading2"/>
      </w:pPr>
      <w:r>
        <w:rPr>
          <w:rFonts w:ascii="Cambria Math" w:hAnsi="Cambria Math" w:eastAsia="SimSun"/>
          <w:sz w:val="24"/>
        </w:rPr>
        <w:t>数据集与预处理</w:t>
      </w:r>
    </w:p>
    <w:p>
      <w:r>
        <w:rPr>
          <w:rFonts w:ascii="Cambria Math" w:hAnsi="Cambria Math" w:eastAsia="SimSun"/>
          <w:sz w:val="24"/>
        </w:rPr>
        <w:t>自建数据集包含健康叶片与 4 类常见病害图像共 6200 张，按 8:1:1 划分训练集、验证集与测试集。病害样本分布参考了农村电商物流研究中的区域采样思路</w:t>
      </w:r>
      <w:r>
        <w:rPr>
          <w:rFonts w:ascii="Cambria Math" w:hAnsi="Cambria Math" w:eastAsia="SimSun"/>
          <w:sz w:val="24"/>
          <w:vertAlign w:val="superscript"/>
        </w:rPr>
        <w:t>[2]</w:t>
      </w:r>
      <w:r>
        <w:rPr>
          <w:rFonts w:ascii="Cambria Math" w:hAnsi="Cambria Math" w:eastAsia="SimSun"/>
          <w:sz w:val="24"/>
        </w:rPr>
        <w:t>。</w:t>
      </w:r>
    </w:p>
    <w:p>
      <w:pPr>
        <w:pStyle w:val="Heading2"/>
      </w:pPr>
      <w:r>
        <w:rPr>
          <w:rFonts w:ascii="Cambria Math" w:hAnsi="Cambria Math" w:eastAsia="SimSun"/>
          <w:sz w:val="24"/>
        </w:rPr>
        <w:t>实验结果</w:t>
      </w:r>
    </w:p>
    <w:p>
      <w:r>
        <w:rPr>
          <w:rFonts w:ascii="Cambria Math" w:hAnsi="Cambria Math" w:eastAsia="SimSun"/>
          <w:sz w:val="24"/>
        </w:rPr>
        <w:t>改进模型与基线模型在测试集上的对比如下：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center"/>
            </w:pPr>
            <w:r>
              <w:rPr>
                <w:rFonts w:ascii="Cambria Math" w:hAnsi="Cambria Math" w:eastAsia="SimSun"/>
                <w:b/>
                <w:sz w:val="20"/>
              </w:rPr>
              <w:t>模型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center"/>
            </w:pPr>
            <w:r>
              <w:rPr>
                <w:rFonts w:ascii="Cambria Math" w:hAnsi="Cambria Math" w:eastAsia="SimSun"/>
                <w:b/>
                <w:sz w:val="20"/>
              </w:rPr>
              <w:t>准确率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6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center"/>
            </w:pPr>
            <w:r>
              <w:rPr>
                <w:rFonts w:ascii="Cambria Math" w:hAnsi="Cambria Math" w:eastAsia="SimSun"/>
                <w:b/>
                <w:sz w:val="20"/>
              </w:rPr>
              <w:t>召回率</w:t>
            </w:r>
          </w:p>
        </w:tc>
      </w:tr>
      <w:tr>
        <w:tc>
          <w:tcPr>
            <w:tcW w:type="dxa" w:w="2929"/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ResNet-50 基线</w:t>
            </w:r>
          </w:p>
        </w:tc>
        <w:tc>
          <w:tcPr>
            <w:tcW w:type="dxa" w:w="2929"/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0.922</w:t>
            </w:r>
          </w:p>
        </w:tc>
        <w:tc>
          <w:tcPr>
            <w:tcW w:type="dxa" w:w="2929"/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0.915</w:t>
            </w:r>
          </w:p>
        </w:tc>
      </w:tr>
      <w:tr>
        <w:tc>
          <w:tcPr>
            <w:tcW w:type="dxa" w:w="292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本文改进模型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0.953</w:t>
            </w:r>
          </w:p>
        </w:tc>
        <w:tc>
          <w:tcPr>
            <w:tcW w:type="dxa" w:w="2929"/>
            <w:tcBorders>
              <w:top w:val="none" w:sz="0" w:space="0" w:color="auto"/>
              <w:bottom w:val="single" w:sz="12" w:space="0" w:color="000000"/>
              <w:left w:val="none" w:sz="0" w:space="0" w:color="auto"/>
              <w:right w:val="none" w:sz="0" w:space="0" w:color="auto"/>
            </w:tcBorders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0.948</w:t>
            </w:r>
          </w:p>
        </w:tc>
      </w:tr>
    </w:tbl>
    <w:p>
      <w:pPr>
        <w:ind w:firstLine="0"/>
        <w:jc w:val="center"/>
      </w:pPr>
      <w:r>
        <w:rPr>
          <w:rFonts w:ascii="Cambria Math" w:hAnsi="Cambria Math" w:eastAsia="SimSun"/>
          <w:b/>
          <w:sz w:val="20"/>
        </w:rPr>
        <w:t>表 2-1</w:t>
      </w:r>
    </w:p>
    <w:p>
      <w:r>
        <w:rPr>
          <w:rFonts w:ascii="Cambria Math" w:hAnsi="Cambria Math" w:eastAsia="SimSun"/>
          <w:sz w:val="24"/>
        </w:rPr>
        <w:t>评价指标中，准确率的计算方式为：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60000"/>
        <w:gridCol w:w="4860000"/>
        <w:gridCol w:w="360000"/>
      </w:tblGrid>
      <w:tr>
        <w:tc>
          <w:tcPr>
            <w:tcW w:type="dxa" w:w="2929"/>
          </w:tcPr>
          <w:p>
            <w:pPr>
              <w:jc w:val="left"/>
            </w:pP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m:oMath>
              <m:r>
                <m:t xml:space="preserve"> </m:t>
              </m:r>
              <m:r>
                <m:t>t</m:t>
              </m:r>
              <m:r>
                <m:t>e</m:t>
              </m:r>
              <m:r>
                <m:t>x</m:t>
              </m:r>
              <m:r>
                <m:t>t</m:t>
              </m:r>
              <m:r>
                <m:t>A</m:t>
              </m:r>
              <m:r>
                <m:t>c</m:t>
              </m:r>
              <m:r>
                <m:t>c</m:t>
              </m:r>
              <m:r>
                <m:t>=</m:t>
              </m:r>
              <m:r>
                <m:t xml:space="preserve"> </m:t>
              </m:r>
              <m:r>
                <m:t>f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P</m:t>
              </m:r>
              <m:r>
                <m:t>+</m:t>
              </m:r>
              <m:r>
                <m:t>T</m:t>
              </m:r>
              <m:r>
                <m:t>N</m:t>
              </m:r>
              <m:r>
                <m:t>T</m:t>
              </m:r>
              <m:r>
                <m:t>P</m:t>
              </m:r>
              <m:r>
                <m:t>+</m:t>
              </m:r>
              <m:r>
                <m:t>T</m:t>
              </m:r>
              <m:r>
                <m:t>N</m:t>
              </m:r>
              <m:r>
                <m:t>+</m:t>
              </m:r>
              <m:r>
                <m:t>F</m:t>
              </m:r>
              <m:r>
                <m:t>P</m:t>
              </m:r>
              <m:r>
                <m:t>+</m:t>
              </m:r>
              <m:r>
                <m:t>F</m:t>
              </m:r>
              <m:r>
                <m:t>N</m:t>
              </m:r>
            </m:oMath>
          </w:p>
        </w:tc>
        <w:tc>
          <w:tcPr>
            <w:tcW w:type="dxa" w:w="2929"/>
          </w:tcPr>
          <w:p>
            <w:pPr>
              <w:ind w:firstLine="0"/>
              <w:jc w:val="right"/>
            </w:pPr>
            <w:r>
              <w:rPr>
                <w:rFonts w:ascii="Cambria Math" w:hAnsi="Cambria Math" w:eastAsia="SimSun"/>
                <w:sz w:val="24"/>
              </w:rPr>
              <w:t>(1)</w:t>
            </w:r>
          </w:p>
        </w:tc>
      </w:tr>
    </w:tbl>
    <w:p>
      <w:pPr>
        <w:pStyle w:val="Heading1"/>
      </w:pPr>
      <w:r>
        <w:rPr>
          <w:rFonts w:ascii="Cambria Math" w:hAnsi="Cambria Math" w:eastAsia="SimSun"/>
          <w:sz w:val="24"/>
        </w:rPr>
        <w:t>结论</w:t>
      </w:r>
    </w:p>
    <w:p>
      <w:r>
        <w:rPr>
          <w:rFonts w:ascii="Cambria Math" w:hAnsi="Cambria Math" w:eastAsia="SimSun"/>
          <w:sz w:val="24"/>
        </w:rPr>
        <w:t>本文提出的改进模型在柑橘病害识别任务上取得了 95.3% 的准确率。后续工作将围绕移动端轻量化部署与更多病害类别的扩展展开。</w:t>
      </w:r>
    </w:p>
    <w:p>
      <w:pPr>
        <w:pStyle w:val="Heading1"/>
      </w:pPr>
      <w:r>
        <w:rPr>
          <w:rFonts w:ascii="Cambria Math" w:hAnsi="Cambria Math" w:eastAsia="SimSun"/>
          <w:sz w:val="24"/>
        </w:rPr>
        <w:t>参考文献</w:t>
      </w:r>
    </w:p>
    <w:p>
      <w:r>
        <w:rPr>
          <w:rFonts w:ascii="Cambria Math" w:hAnsi="Cambria Math" w:eastAsia="SimSun"/>
          <w:sz w:val="24"/>
          <w:vertAlign w:val="superscript"/>
        </w:rPr>
        <w:t>[1]</w:t>
      </w:r>
      <w:r>
        <w:rPr>
          <w:rFonts w:ascii="Cambria Math" w:hAnsi="Cambria Math" w:eastAsia="SimSun"/>
          <w:sz w:val="24"/>
        </w:rPr>
        <w:t xml:space="preserve"> 张三, 李四, 王五, 等. 基于深度学习的柑橘病害图像识别方法[J]. 农业工程学报, 2023, 39(12): 100-108.</w:t>
      </w:r>
    </w:p>
    <w:p>
      <w:r>
        <w:rPr>
          <w:rFonts w:ascii="Cambria Math" w:hAnsi="Cambria Math" w:eastAsia="SimSun"/>
          <w:sz w:val="24"/>
          <w:vertAlign w:val="superscript"/>
        </w:rPr>
        <w:t>[2]</w:t>
      </w:r>
      <w:r>
        <w:rPr>
          <w:rFonts w:ascii="Cambria Math" w:hAnsi="Cambria Math" w:eastAsia="SimSun"/>
          <w:sz w:val="24"/>
        </w:rPr>
        <w:t xml:space="preserve"> 王芳. 乡村振兴战略下农村电商物流路径优化研究[D]. 武汉: 武汉理工大学, 2024.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397"/>
      <w:jc w:val="both"/>
    </w:pPr>
    <w:rPr>
      <w:rFonts w:ascii="Cambria Math" w:hAnsi="Cambria Math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 w:ascii="Cambria Math" w:hAnsi="Cambria Math" w:eastAsia="SimHe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 w:ascii="Cambria Math" w:hAnsi="Cambria Math" w:eastAsia="Sim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 w:ascii="Cambria Math" w:hAnsi="Cambria Math" w:eastAsia="Sim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jc w:val="left"/>
      <w:outlineLvl w:val="3"/>
    </w:pPr>
    <w:rPr>
      <w:rFonts w:asciiTheme="majorHAnsi" w:eastAsiaTheme="majorEastAsia" w:hAnsiTheme="majorHAnsi" w:cstheme="majorBidi" w:ascii="Cambria Math" w:hAnsi="Cambria Math" w:eastAsia="SimHe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