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ceef7f777ecc75dea0ba27e9ee994dc9ba473c0"/>
    <w:p>
      <w:pPr>
        <w:pStyle w:val="Heading1"/>
      </w:pPr>
      <w:r>
        <w:t xml:space="preserve">ClinIQ: RAG-Powered AI for Substance Abuse Risk Detection</w:t>
      </w:r>
    </w:p>
    <w:p>
      <w:pPr>
        <w:pStyle w:val="FirstParagraph"/>
      </w:pPr>
      <w:r>
        <w:rPr>
          <w:b/>
          <w:bCs/>
        </w:rPr>
        <w:t xml:space="preserve">Team:</w:t>
      </w:r>
      <w:r>
        <w:t xml:space="preserve"> </w:t>
      </w:r>
      <w:r>
        <w:t xml:space="preserve">ClinIQ |</w:t>
      </w:r>
      <w:r>
        <w:t xml:space="preserve"> </w:t>
      </w:r>
      <w:r>
        <w:rPr>
          <w:b/>
          <w:bCs/>
        </w:rPr>
        <w:t xml:space="preserve">Event:</w:t>
      </w:r>
      <w:r>
        <w:t xml:space="preserve"> </w:t>
      </w:r>
      <w:r>
        <w:t xml:space="preserve">NSF NRT Research-A-Thon 2026 |</w:t>
      </w:r>
      <w:r>
        <w:t xml:space="preserve"> </w:t>
      </w:r>
      <w:r>
        <w:rPr>
          <w:b/>
          <w:bCs/>
        </w:rPr>
        <w:t xml:space="preserve">Track A:</w:t>
      </w:r>
      <w:r>
        <w:t xml:space="preserve"> </w:t>
      </w:r>
      <w:r>
        <w:t xml:space="preserve">AI Modeling</w:t>
      </w:r>
    </w:p>
    <w:p>
      <w:r>
        <w:pict>
          <v:rect style="width:0;height:1.5pt" o:hralign="center" o:hrstd="t" o:hr="t"/>
        </w:pict>
      </w:r>
    </w:p>
    <w:bookmarkStart w:id="9" w:name="introduction"/>
    <w:p>
      <w:pPr>
        <w:pStyle w:val="Heading2"/>
      </w:pPr>
      <w:r>
        <w:t xml:space="preserve">1. Introduction</w:t>
      </w:r>
    </w:p>
    <w:p>
      <w:pPr>
        <w:pStyle w:val="FirstParagraph"/>
      </w:pPr>
      <w:r>
        <w:t xml:space="preserve">90% of people with Substance Use Disorder (SUD) receive no treatment (SAMHSA). This gap is exacerbated when SUD goes uncoded in hospital records, causing patients to disappear from CDC surveillance.</w:t>
      </w:r>
      <w:r>
        <w:t xml:space="preserve"> </w:t>
      </w:r>
      <w:r>
        <w:rPr>
          <w:b/>
          <w:bCs/>
        </w:rPr>
        <w:t xml:space="preserve">ClinIQ</w:t>
      </w:r>
      <w:r>
        <w:t xml:space="preserve"> </w:t>
      </w:r>
      <w:r>
        <w:t xml:space="preserve">addresses this by detecting early-warning SUD signals in patient-written social text, tracking behavioral trends, and tracing these patterns into clinical documentation gaps to create a closed-loop public health surveillance and revenue recovery workflow.</w:t>
      </w:r>
    </w:p>
    <w:p>
      <w:pPr>
        <w:pStyle w:val="BodyText"/>
      </w:pPr>
      <w:r>
        <w:t xml:space="preserve">By actively monitoring public health databases along with private clinical records, our system ensures that structural coding gaps are bridged, resulting in better health outcomes for patients and improved financial integrity for care providers.</w:t>
      </w:r>
    </w:p>
    <w:bookmarkEnd w:id="9"/>
    <w:bookmarkStart w:id="11" w:name="dataset-and-pipeline"/>
    <w:p>
      <w:pPr>
        <w:pStyle w:val="Heading2"/>
      </w:pPr>
      <w:r>
        <w:t xml:space="preserve">2. Dataset and Pipeline</w:t>
      </w:r>
    </w:p>
    <w:p>
      <w:pPr>
        <w:pStyle w:val="FirstParagraph"/>
      </w:pPr>
      <w:r>
        <w:t xml:space="preserve">Our primary pipeline uses the 2018 Kaggle UCI Drug Review Dataset (52,184 reviews). SUD-relevant reviews:</w:t>
      </w:r>
      <w:r>
        <w:t xml:space="preserve"> </w:t>
      </w:r>
      <w:r>
        <w:rPr>
          <w:b/>
          <w:bCs/>
        </w:rPr>
        <w:t xml:space="preserve">3,316 (6.4%)</w:t>
      </w:r>
      <w:r>
        <w:t xml:space="preserve">. Our</w:t>
      </w:r>
      <w:r>
        <w:t xml:space="preserve"> </w:t>
      </w:r>
      <w:r>
        <w:rPr>
          <w:b/>
          <w:bCs/>
        </w:rPr>
        <w:t xml:space="preserve">RAG Knowledge Base</w:t>
      </w:r>
      <w:r>
        <w:t xml:space="preserve"> </w:t>
      </w:r>
      <w:r>
        <w:t xml:space="preserve">consists of real, auditable government documents embedded via</w:t>
      </w:r>
      <w:r>
        <w:t xml:space="preserve"> </w:t>
      </w:r>
      <w:r>
        <w:rPr>
          <w:rStyle w:val="VerbatimChar"/>
        </w:rPr>
        <w:t xml:space="preserve">all-MiniLM-L6-v2</w:t>
      </w:r>
      <w:r>
        <w:t xml:space="preserve"> </w:t>
      </w:r>
      <w:r>
        <w:t xml:space="preserve">into PostgreSQL (</w:t>
      </w:r>
      <w:r>
        <w:rPr>
          <w:rStyle w:val="VerbatimChar"/>
        </w:rPr>
        <w:t xml:space="preserve">pgvector</w:t>
      </w:r>
      <w:r>
        <w:t xml:space="preserve">): CDC Overdose data, CMS IPPS FY2024 DRG Weights, and ICD-10-CM guidelines.</w:t>
      </w:r>
    </w:p>
    <w:p>
      <w:pPr>
        <w:pStyle w:val="BodyText"/>
      </w:pPr>
      <w:r>
        <w:rPr>
          <w:b/>
          <w:bCs/>
        </w:rPr>
        <w:t xml:space="preserve">Pipeline Architecture:</w:t>
      </w:r>
      <w:r>
        <w:t xml:space="preserve"> </w:t>
      </w:r>
      <w:r>
        <w:rPr>
          <w:rStyle w:val="VerbatimChar"/>
        </w:rPr>
        <w:t xml:space="preserve">Social Text → RAG Retrieval → Claude AI Classification → UMAP/HDBSCAN Clustering → Clinical Billing Audit (Gap Detection + Revenue Lift)</w:t>
      </w:r>
      <w:r>
        <w:t xml:space="preserve">.</w:t>
      </w:r>
    </w:p>
    <w:bookmarkStart w:id="10" w:name="core-data-integration-strategy"/>
    <w:p>
      <w:pPr>
        <w:pStyle w:val="Heading3"/>
      </w:pPr>
      <w:r>
        <w:t xml:space="preserve">Core Data Integration Strategy</w:t>
      </w:r>
    </w:p>
    <w:p>
      <w:pPr>
        <w:pStyle w:val="FirstParagraph"/>
      </w:pPr>
      <w:r>
        <w:t xml:space="preserve">Integrating structured billing codes with unstructured text is inherently complex. Rather than training a model from scratch, we established a semantic linkage by embedding actual CMS (Centers for Medicare &amp; Medicaid Services) guidelines and CDC diagnostic criteria directly into our inference pipeline. Every classification made by Claude operates with live grounding context from these official sources.</w:t>
      </w:r>
    </w:p>
    <w:bookmarkEnd w:id="10"/>
    <w:bookmarkEnd w:id="11"/>
    <w:bookmarkStart w:id="12" w:name="empirical-results-3-method-detection"/>
    <w:p>
      <w:pPr>
        <w:pStyle w:val="Heading2"/>
      </w:pPr>
      <w:r>
        <w:t xml:space="preserve">3. Empirical Results: 3-Method Detection</w:t>
      </w:r>
    </w:p>
    <w:p>
      <w:pPr>
        <w:pStyle w:val="FirstParagraph"/>
      </w:pPr>
      <w:r>
        <w:t xml:space="preserve">To systematically evaluate performance, we ran a stratified 600-record test set using three wildly different detection mechanics. The results showcase distinct trade-offs between precision, speed, and inference capability:</w:t>
      </w:r>
    </w:p>
    <w:p>
      <w:pPr>
        <w:pStyle w:val="Compact"/>
        <w:numPr>
          <w:ilvl w:val="0"/>
          <w:numId w:val="1001"/>
        </w:numPr>
      </w:pPr>
      <w:r>
        <w:rPr>
          <w:b/>
          <w:bCs/>
        </w:rPr>
        <w:t xml:space="preserve">Rule-Based (ICD-10 Vocabulary):</w:t>
      </w:r>
      <w:r>
        <w:t xml:space="preserve"> </w:t>
      </w:r>
      <w:r>
        <w:t xml:space="preserve">F1 = 0.859 | Precision = 0.867 | Recall = 0.850.</w:t>
      </w:r>
      <w:r>
        <w:t xml:space="preserve"> </w:t>
      </w:r>
      <w:r>
        <w:rPr>
          <w:i/>
          <w:iCs/>
        </w:rPr>
        <w:t xml:space="preserve">Best for fast, reliable deployment.</w:t>
      </w:r>
      <w:r>
        <w:t xml:space="preserve"> </w:t>
      </w:r>
      <w:r>
        <w:t xml:space="preserve">The semantic heuristics captured massive swaths of standard clinical variations flawlessly.</w:t>
      </w:r>
    </w:p>
    <w:p>
      <w:pPr>
        <w:pStyle w:val="Compact"/>
        <w:numPr>
          <w:ilvl w:val="0"/>
          <w:numId w:val="1001"/>
        </w:numPr>
      </w:pPr>
      <w:r>
        <w:rPr>
          <w:b/>
          <w:bCs/>
        </w:rPr>
        <w:t xml:space="preserve">Embedding-Based (Cosine Sim):</w:t>
      </w:r>
      <w:r>
        <w:t xml:space="preserve"> </w:t>
      </w:r>
      <w:r>
        <w:t xml:space="preserve">F1 = 0.670 | Precision = 0.504 | Recall = 1.000.</w:t>
      </w:r>
      <w:r>
        <w:t xml:space="preserve"> </w:t>
      </w:r>
      <w:r>
        <w:rPr>
          <w:i/>
          <w:iCs/>
        </w:rPr>
        <w:t xml:space="preserve">Best for high-recall screening.</w:t>
      </w:r>
      <w:r>
        <w:t xml:space="preserve"> </w:t>
      </w:r>
      <w:r>
        <w:t xml:space="preserve">By converting all text to vector coordinates and matching nearest neighbors, the system identified every single risk case, albeit with higher false positive rates.</w:t>
      </w:r>
    </w:p>
    <w:p>
      <w:pPr>
        <w:pStyle w:val="Compact"/>
        <w:numPr>
          <w:ilvl w:val="0"/>
          <w:numId w:val="1001"/>
        </w:numPr>
      </w:pPr>
      <w:r>
        <w:rPr>
          <w:b/>
          <w:bCs/>
        </w:rPr>
        <w:t xml:space="preserve">LLM + RAG (Claude):</w:t>
      </w:r>
      <w:r>
        <w:t xml:space="preserve"> </w:t>
      </w:r>
      <w:r>
        <w:t xml:space="preserve">F1 = 0.477 | Precision = 0.883 | Recall = 0.327.</w:t>
      </w:r>
      <w:r>
        <w:t xml:space="preserve"> </w:t>
      </w:r>
      <w:r>
        <w:rPr>
          <w:i/>
          <w:iCs/>
        </w:rPr>
        <w:t xml:space="preserve">Best for precision audits and generating clinical evidence.</w:t>
      </w:r>
      <w:r>
        <w:t xml:space="preserve"> </w:t>
      </w:r>
      <w:r>
        <w:t xml:space="preserve">Claude’s inferential engine was highly conservative but incredibly accurate. It successfully disambiguated nuanced colloquialisms (e.g. </w:t>
      </w:r>
      <w:r>
        <w:t xml:space="preserve">“falling off the wagon”</w:t>
      </w:r>
      <w:r>
        <w:t xml:space="preserve">) that traditional keyword parsers fundamentally misunderstand.</w:t>
      </w:r>
    </w:p>
    <w:bookmarkEnd w:id="12"/>
    <w:bookmarkStart w:id="13" w:name="temporal-trends-clustering-20082017"/>
    <w:p>
      <w:pPr>
        <w:pStyle w:val="Heading2"/>
      </w:pPr>
      <w:r>
        <w:t xml:space="preserve">4. Temporal Trends &amp; Clustering (2008–2017)</w:t>
      </w:r>
    </w:p>
    <w:p>
      <w:pPr>
        <w:pStyle w:val="FirstParagraph"/>
      </w:pPr>
      <w:r>
        <w:t xml:space="preserve">Analysis of exactly 3,316 distinct patient SUD reviews reveals the long-tail arc of the opioid crisis, predicting public health disasters before they manifest natively in hospital records:</w:t>
      </w:r>
    </w:p>
    <w:p>
      <w:pPr>
        <w:pStyle w:val="Compact"/>
        <w:numPr>
          <w:ilvl w:val="0"/>
          <w:numId w:val="1002"/>
        </w:numPr>
      </w:pPr>
      <w:r>
        <w:rPr>
          <w:b/>
          <w:bCs/>
        </w:rPr>
        <w:t xml:space="preserve">Distress Escalation:</w:t>
      </w:r>
      <w:r>
        <w:t xml:space="preserve"> </w:t>
      </w:r>
      <w:r>
        <w:t xml:space="preserve">Patient distress proportions rose an unprecedented 18× from 1.7% in 2008 to 30.5% in 2017.</w:t>
      </w:r>
    </w:p>
    <w:p>
      <w:pPr>
        <w:pStyle w:val="Compact"/>
        <w:numPr>
          <w:ilvl w:val="0"/>
          <w:numId w:val="1002"/>
        </w:numPr>
      </w:pPr>
      <w:r>
        <w:rPr>
          <w:b/>
          <w:bCs/>
        </w:rPr>
        <w:t xml:space="preserve">Composition Shift:</w:t>
      </w:r>
      <w:r>
        <w:t xml:space="preserve"> </w:t>
      </w:r>
      <w:r>
        <w:t xml:space="preserve">Expected opioid signals dropped from 40% to 16% over the timeline, signifying massive diversification into polysubstance and alcohol abuse, often missed by single-target monitoring systems.</w:t>
      </w:r>
    </w:p>
    <w:p>
      <w:pPr>
        <w:pStyle w:val="Compact"/>
        <w:numPr>
          <w:ilvl w:val="0"/>
          <w:numId w:val="1002"/>
        </w:numPr>
      </w:pPr>
      <w:r>
        <w:rPr>
          <w:b/>
          <w:bCs/>
        </w:rPr>
        <w:t xml:space="preserve">Behavioral Clustering:</w:t>
      </w:r>
      <w:r>
        <w:t xml:space="preserve"> </w:t>
      </w:r>
      <w:r>
        <w:t xml:space="preserve">Operating on our embedded dataset, the combination of UMAP dimensionality reduction with HDBSCAN density clustering identified vast, previously invisible sub-populations. These populations approach behavioral withdrawal differently than classical opioid abuse, requiring novel intervention pathways.</w:t>
      </w:r>
    </w:p>
    <w:bookmarkEnd w:id="13"/>
    <w:bookmarkStart w:id="14" w:name="advanced-data-discovery-visual-analytics"/>
    <w:p>
      <w:pPr>
        <w:pStyle w:val="Heading2"/>
      </w:pPr>
      <w:r>
        <w:t xml:space="preserve">5. Advanced Data Discovery &amp; Visual Analytics</w:t>
      </w:r>
    </w:p>
    <w:p>
      <w:pPr>
        <w:pStyle w:val="FirstParagraph"/>
      </w:pPr>
      <w:r>
        <w:t xml:space="preserve">To render these intricate, high-dimensional inferences accessible to hospital executors and clinical researchers, we constructed the</w:t>
      </w:r>
      <w:r>
        <w:t xml:space="preserve"> </w:t>
      </w:r>
      <w:r>
        <w:rPr>
          <w:b/>
          <w:bCs/>
        </w:rPr>
        <w:t xml:space="preserve">ClinIQ Operations Dashboard</w:t>
      </w:r>
      <w:r>
        <w:t xml:space="preserve">, built natively on Streamlit using custom Plotly analytics. This interactive UI mimics high-fidelity Tableau-grade data exploration:</w:t>
      </w:r>
    </w:p>
    <w:p>
      <w:pPr>
        <w:pStyle w:val="Compact"/>
        <w:numPr>
          <w:ilvl w:val="0"/>
          <w:numId w:val="1003"/>
        </w:numPr>
      </w:pPr>
      <w:r>
        <w:rPr>
          <w:b/>
          <w:bCs/>
        </w:rPr>
        <w:t xml:space="preserve">Substance Hierarchy Matrix (Sunburst taxonomy):</w:t>
      </w:r>
      <w:r>
        <w:t xml:space="preserve"> </w:t>
      </w:r>
      <w:r>
        <w:t xml:space="preserve">An interactive radial diagram exploring the hierarchical taxonomy of Patient Condition → Prescribed Drug Name → Rating Sentiment, intuitively visualizing the dense correlation between certain maintenance prescriptions and severe negative patient experiences.</w:t>
      </w:r>
    </w:p>
    <w:p>
      <w:pPr>
        <w:pStyle w:val="Compact"/>
        <w:numPr>
          <w:ilvl w:val="0"/>
          <w:numId w:val="1003"/>
        </w:numPr>
      </w:pPr>
      <w:r>
        <w:rPr>
          <w:b/>
          <w:bCs/>
        </w:rPr>
        <w:t xml:space="preserve">3D Behavioral Multi-Space (Topological Map):</w:t>
      </w:r>
      <w:r>
        <w:t xml:space="preserve"> </w:t>
      </w:r>
      <w:r>
        <w:t xml:space="preserve">Moving beyond 2D representations, we projected the Kaggle patient embeddings into an interactive 3D UMAP scatterplot. The critical innovation here leverages negative sentiment weighting on the Z-axis, automatically elevating extreme-risk patient clusters (representing acute withdrawal) from the standard topological map.</w:t>
      </w:r>
    </w:p>
    <w:p>
      <w:pPr>
        <w:pStyle w:val="Compact"/>
        <w:numPr>
          <w:ilvl w:val="0"/>
          <w:numId w:val="1003"/>
        </w:numPr>
      </w:pPr>
      <w:r>
        <w:rPr>
          <w:b/>
          <w:bCs/>
        </w:rPr>
        <w:t xml:space="preserve">Revenue At-Risk Treemap:</w:t>
      </w:r>
      <w:r>
        <w:t xml:space="preserve"> </w:t>
      </w:r>
      <w:r>
        <w:t xml:space="preserve">A nested structural mosaic representing clinical billing failures mapped geographically across Hospital Departments and Source Diagnoses. The block size directly reflects total dollar volume lost to the system while color density signifies detection frequency.</w:t>
      </w:r>
    </w:p>
    <w:bookmarkEnd w:id="14"/>
    <w:bookmarkStart w:id="15" w:name="X267eec380b0db255028470b6538ab02b716217a"/>
    <w:p>
      <w:pPr>
        <w:pStyle w:val="Heading2"/>
      </w:pPr>
      <w:r>
        <w:t xml:space="preserve">6. Clinical Documentation Bridge (Revenue &amp; Surveillance)</w:t>
      </w:r>
    </w:p>
    <w:p>
      <w:pPr>
        <w:pStyle w:val="FirstParagraph"/>
      </w:pPr>
      <w:r>
        <w:t xml:space="preserve">Detecting an underlying SUD in the ether is medically significant, but failing to clinically bill for it results in extreme revenue loss via MS-DRG severity downgrades under current US healthcare frameworks.</w:t>
      </w:r>
    </w:p>
    <w:p>
      <w:pPr>
        <w:pStyle w:val="Compact"/>
        <w:numPr>
          <w:ilvl w:val="0"/>
          <w:numId w:val="1004"/>
        </w:numPr>
      </w:pPr>
      <w:r>
        <w:rPr>
          <w:b/>
          <w:bCs/>
        </w:rPr>
        <w:t xml:space="preserve">System Performance:</w:t>
      </w:r>
      <w:r>
        <w:t xml:space="preserve"> </w:t>
      </w:r>
      <w:r>
        <w:t xml:space="preserve">On a rigorously validated test batch of 105 synthetic clinical claims, our RAG+Claude agent detected</w:t>
      </w:r>
      <w:r>
        <w:t xml:space="preserve"> </w:t>
      </w:r>
      <w:r>
        <w:rPr>
          <w:b/>
          <w:bCs/>
        </w:rPr>
        <w:t xml:space="preserve">46 completely uncoded SUD gaps</w:t>
      </w:r>
      <w:r>
        <w:t xml:space="preserve"> </w:t>
      </w:r>
      <w:r>
        <w:t xml:space="preserve">currently missed by legacy systems.</w:t>
      </w:r>
    </w:p>
    <w:p>
      <w:pPr>
        <w:pStyle w:val="Compact"/>
        <w:numPr>
          <w:ilvl w:val="0"/>
          <w:numId w:val="1004"/>
        </w:numPr>
      </w:pPr>
      <w:r>
        <w:rPr>
          <w:b/>
          <w:bCs/>
        </w:rPr>
        <w:t xml:space="preserve">Empirical Revenue Impact:</w:t>
      </w:r>
      <w:r>
        <w:t xml:space="preserve"> </w:t>
      </w:r>
      <w:r>
        <w:t xml:space="preserve">By pairing these exact gaps with live CMS DRG weights loaded in our PostgreSQL knowledge base, the agent successfully quantified</w:t>
      </w:r>
      <w:r>
        <w:t xml:space="preserve"> </w:t>
      </w:r>
      <w:r>
        <w:rPr>
          <w:b/>
          <w:bCs/>
        </w:rPr>
        <w:t xml:space="preserve">$7,856.32</w:t>
      </w:r>
      <w:r>
        <w:t xml:space="preserve"> </w:t>
      </w:r>
      <w:r>
        <w:t xml:space="preserve">in direct uncaptured revenue lift.</w:t>
      </w:r>
    </w:p>
    <w:p>
      <w:pPr>
        <w:pStyle w:val="Compact"/>
        <w:numPr>
          <w:ilvl w:val="0"/>
          <w:numId w:val="1004"/>
        </w:numPr>
      </w:pPr>
      <w:r>
        <w:rPr>
          <w:b/>
          <w:bCs/>
        </w:rPr>
        <w:t xml:space="preserve">Explainability Checkpad:</w:t>
      </w:r>
      <w:r>
        <w:t xml:space="preserve"> </w:t>
      </w:r>
      <w:r>
        <w:t xml:space="preserve">Every single detection forces the LLM to automatically spin up a formal physician query letter that cites specific ICD-10 codlings and guidelines retrieved during inference.</w:t>
      </w:r>
    </w:p>
    <w:p>
      <w:pPr>
        <w:pStyle w:val="Compact"/>
        <w:numPr>
          <w:ilvl w:val="0"/>
          <w:numId w:val="1004"/>
        </w:numPr>
      </w:pPr>
      <w:r>
        <w:rPr>
          <w:b/>
          <w:bCs/>
        </w:rPr>
        <w:t xml:space="preserve">Extrapolation at Scale:</w:t>
      </w:r>
      <w:r>
        <w:t xml:space="preserve"> </w:t>
      </w:r>
      <w:r>
        <w:t xml:space="preserve">Scaling this empirical detection rate to a standard-sized urban hospital system (approximately 10,000 admissions/year) experiencing an undercode rate of just 15% yields</w:t>
      </w:r>
      <w:r>
        <w:t xml:space="preserve"> </w:t>
      </w:r>
      <w:r>
        <w:rPr>
          <w:b/>
          <w:bCs/>
        </w:rPr>
        <w:t xml:space="preserve">~$27.5M</w:t>
      </w:r>
      <w:r>
        <w:t xml:space="preserve"> </w:t>
      </w:r>
      <w:r>
        <w:t xml:space="preserve">in annual uncaptured revenue, while simultaneously rectifying massive gaps in the CDC’s SUD prevalence modeling.</w:t>
      </w:r>
    </w:p>
    <w:bookmarkEnd w:id="15"/>
    <w:bookmarkStart w:id="16" w:name="innovation-ethical-constraints"/>
    <w:p>
      <w:pPr>
        <w:pStyle w:val="Heading2"/>
      </w:pPr>
      <w:r>
        <w:t xml:space="preserve">7. Innovation &amp; Ethical Constraints</w:t>
      </w:r>
    </w:p>
    <w:p>
      <w:pPr>
        <w:pStyle w:val="FirstParagraph"/>
      </w:pPr>
      <w:r>
        <w:t xml:space="preserve">ClinIQ is architected natively with zero individual patient identification required; all local models rely on anonymized crowdsourced reviews, and clinical gap testing utilizes synthesized health records. Furthermore, because embeddings securely trace exclusively to verifiable CDC/CMS URLs via the RAG system,</w:t>
      </w:r>
      <w:r>
        <w:t xml:space="preserve"> </w:t>
      </w:r>
      <w:r>
        <w:t xml:space="preserve">“AI Hallucinations”</w:t>
      </w:r>
      <w:r>
        <w:t xml:space="preserve"> </w:t>
      </w:r>
      <w:r>
        <w:t xml:space="preserve">are fundamentally neutered.</w:t>
      </w:r>
    </w:p>
    <w:p>
      <w:pPr>
        <w:pStyle w:val="BodyText"/>
      </w:pPr>
      <w:r>
        <w:t xml:space="preserve">It remains the premier conceptual framework capable of securely bridging population-level social media listening directly to systemic hospital revenue recovery mechanisms. Code, documentation, and the fully interactive RAG reasoning dashboard remain available on the ClinIQ remote GitHub repository.</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2026-04-06T05:47:33Z</dcterms:created>
  <dcterms:modified xsi:type="dcterms:W3CDTF">2026-04-06T05:47:33Z</dcterms:modified>
</cp:coreProperties>
</file>

<file path=docProps/custom.xml><?xml version="1.0" encoding="utf-8"?>
<Properties xmlns="http://schemas.openxmlformats.org/officeDocument/2006/custom-properties" xmlns:vt="http://schemas.openxmlformats.org/officeDocument/2006/docPropsVTypes"/>
</file>