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ceef7f777ecc75dea0ba27e9ee994dc9ba473c0"/>
    <w:p>
      <w:pPr>
        <w:pStyle w:val="Heading1"/>
      </w:pPr>
      <w:r>
        <w:t xml:space="preserve">ClinIQ: RAG-Powered AI for Substance Abuse Risk Detection</w:t>
      </w:r>
    </w:p>
    <w:p>
      <w:pPr>
        <w:pStyle w:val="FirstParagraph"/>
      </w:pPr>
      <w:r>
        <w:rPr>
          <w:b/>
          <w:bCs/>
        </w:rPr>
        <w:t xml:space="preserve">Team:</w:t>
      </w:r>
      <w:r>
        <w:t xml:space="preserve"> </w:t>
      </w:r>
      <w:r>
        <w:t xml:space="preserve">ClinIQ |</w:t>
      </w:r>
      <w:r>
        <w:t xml:space="preserve"> </w:t>
      </w:r>
      <w:r>
        <w:rPr>
          <w:b/>
          <w:bCs/>
        </w:rPr>
        <w:t xml:space="preserve">Event:</w:t>
      </w:r>
      <w:r>
        <w:t xml:space="preserve"> </w:t>
      </w:r>
      <w:r>
        <w:t xml:space="preserve">NSF NRT Research-A-Thon 2026 |</w:t>
      </w:r>
      <w:r>
        <w:t xml:space="preserve"> </w:t>
      </w:r>
      <w:r>
        <w:rPr>
          <w:b/>
          <w:bCs/>
        </w:rPr>
        <w:t xml:space="preserve">Track A:</w:t>
      </w:r>
      <w:r>
        <w:t xml:space="preserve"> </w:t>
      </w:r>
      <w:r>
        <w:t xml:space="preserve">AI Modeling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90% of people with Substance Use Disorder (SUD) receive no treatment (SAMHSA). This gap is exacerbated when SUD goes uncoded in hospital records, causing patients to disappear from CDC surveillance.</w:t>
      </w:r>
      <w:r>
        <w:t xml:space="preserve"> </w:t>
      </w:r>
      <w:r>
        <w:rPr>
          <w:b/>
          <w:bCs/>
        </w:rPr>
        <w:t xml:space="preserve">ClinIQ</w:t>
      </w:r>
      <w:r>
        <w:t xml:space="preserve"> </w:t>
      </w:r>
      <w:r>
        <w:t xml:space="preserve">addresses this by detecting early-warning SUD signals in patient-written social text, tracking behavioral trends, and tracing these patterns into clinical documentation gaps to create a closed-loop public health surveillance and revenue recovery workflow.</w:t>
      </w:r>
    </w:p>
    <w:bookmarkEnd w:id="9"/>
    <w:bookmarkStart w:id="10" w:name="dataset-and-pipeline"/>
    <w:p>
      <w:pPr>
        <w:pStyle w:val="Heading2"/>
      </w:pPr>
      <w:r>
        <w:t xml:space="preserve">2. Dataset and Pipeline</w:t>
      </w:r>
    </w:p>
    <w:p>
      <w:pPr>
        <w:pStyle w:val="FirstParagraph"/>
      </w:pPr>
      <w:r>
        <w:t xml:space="preserve">Our primary pipeline uses the 2018 Kaggle UCI Drug Review Dataset (52,184 reviews). SUD-relevant reviews:</w:t>
      </w:r>
      <w:r>
        <w:t xml:space="preserve"> </w:t>
      </w:r>
      <w:r>
        <w:rPr>
          <w:b/>
          <w:bCs/>
        </w:rPr>
        <w:t xml:space="preserve">3,316 (6.4%)</w:t>
      </w:r>
      <w:r>
        <w:t xml:space="preserve">. Our</w:t>
      </w:r>
      <w:r>
        <w:t xml:space="preserve"> </w:t>
      </w:r>
      <w:r>
        <w:rPr>
          <w:b/>
          <w:bCs/>
        </w:rPr>
        <w:t xml:space="preserve">RAG Knowledge Base</w:t>
      </w:r>
      <w:r>
        <w:t xml:space="preserve"> </w:t>
      </w:r>
      <w:r>
        <w:t xml:space="preserve">consists of real, auditable government documents embedded via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into PostgreSQL (</w:t>
      </w:r>
      <w:r>
        <w:rPr>
          <w:rStyle w:val="VerbatimChar"/>
        </w:rPr>
        <w:t xml:space="preserve">pgvector</w:t>
      </w:r>
      <w:r>
        <w:t xml:space="preserve">): CDC Overdose data, CMS IPPS FY2024 DRG Weights, and ICD-10-CM guidelines.</w:t>
      </w:r>
    </w:p>
    <w:p>
      <w:pPr>
        <w:pStyle w:val="BodyText"/>
      </w:pPr>
      <w:r>
        <w:rPr>
          <w:b/>
          <w:bCs/>
        </w:rPr>
        <w:t xml:space="preserve">Pipeline Architecture:</w:t>
      </w:r>
      <w:r>
        <w:t xml:space="preserve"> </w:t>
      </w:r>
      <w:r>
        <w:rPr>
          <w:rStyle w:val="VerbatimChar"/>
        </w:rPr>
        <w:t xml:space="preserve">Social Text → RAG Retrieval → Claude AI Classification → UMAP/HDBSCAN Clustering → Clinical Billing Audit (Gap Detection + Revenue Lift)</w:t>
      </w:r>
      <w:r>
        <w:t xml:space="preserve">.</w:t>
      </w:r>
    </w:p>
    <w:bookmarkEnd w:id="10"/>
    <w:bookmarkStart w:id="11" w:name="empirical-results-3-method-detection"/>
    <w:p>
      <w:pPr>
        <w:pStyle w:val="Heading2"/>
      </w:pPr>
      <w:r>
        <w:t xml:space="preserve">3. Empirical Results: 3-Method Detection</w:t>
      </w:r>
    </w:p>
    <w:p>
      <w:pPr>
        <w:pStyle w:val="FirstParagraph"/>
      </w:pPr>
      <w:r>
        <w:t xml:space="preserve">We evaluated three SUD detection techniques on a 600-record set: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Rule-Based (ICD-10 Vocabulary):</w:t>
      </w:r>
      <w:r>
        <w:t xml:space="preserve"> </w:t>
      </w:r>
      <w:r>
        <w:t xml:space="preserve">F1 = 0.859 | Precision = 0.867 | Recall = 0.850.</w:t>
      </w:r>
      <w:r>
        <w:t xml:space="preserve"> </w:t>
      </w:r>
      <w:r>
        <w:rPr>
          <w:i/>
          <w:iCs/>
        </w:rPr>
        <w:t xml:space="preserve">Best for fast, reliable deployment.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Embedding-Based (Cosine Sim):</w:t>
      </w:r>
      <w:r>
        <w:t xml:space="preserve"> </w:t>
      </w:r>
      <w:r>
        <w:t xml:space="preserve">F1 = 0.670 | Precision = 0.504 | Recall = 1.000.</w:t>
      </w:r>
      <w:r>
        <w:t xml:space="preserve"> </w:t>
      </w:r>
      <w:r>
        <w:rPr>
          <w:i/>
          <w:iCs/>
        </w:rPr>
        <w:t xml:space="preserve">Best for high-recall screening.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LLM + RAG (Claude):</w:t>
      </w:r>
      <w:r>
        <w:t xml:space="preserve"> </w:t>
      </w:r>
      <w:r>
        <w:t xml:space="preserve">F1 = 0.477 | Precision = 0.883 | Recall = 0.327.</w:t>
      </w:r>
      <w:r>
        <w:t xml:space="preserve"> </w:t>
      </w:r>
      <w:r>
        <w:rPr>
          <w:i/>
          <w:iCs/>
        </w:rPr>
        <w:t xml:space="preserve">Best for precision audits and generating clinical evidence.</w:t>
      </w:r>
    </w:p>
    <w:bookmarkEnd w:id="11"/>
    <w:bookmarkStart w:id="12" w:name="temporal-trends-clustering-20082017"/>
    <w:p>
      <w:pPr>
        <w:pStyle w:val="Heading2"/>
      </w:pPr>
      <w:r>
        <w:t xml:space="preserve">4. Temporal Trends &amp; Clustering (2008–2017)</w:t>
      </w:r>
    </w:p>
    <w:p>
      <w:pPr>
        <w:pStyle w:val="FirstParagraph"/>
      </w:pPr>
      <w:r>
        <w:t xml:space="preserve">Analysis of 3,316 SUD reviews reveals the opioid crisis arc: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Distress Escalation:</w:t>
      </w:r>
      <w:r>
        <w:t xml:space="preserve"> </w:t>
      </w:r>
      <w:r>
        <w:t xml:space="preserve">Patient distress proportions rose 18× from 1.7% (2008) to 30.5% (2017).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Composition Shift:</w:t>
      </w:r>
      <w:r>
        <w:t xml:space="preserve"> </w:t>
      </w:r>
      <w:r>
        <w:t xml:space="preserve">Expected opioid signals dropped from 40% to 16% over the timeline, signifying massive diversification into polysubstance and alcohol abuse.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Behavioral Clustering:</w:t>
      </w:r>
      <w:r>
        <w:t xml:space="preserve"> </w:t>
      </w:r>
      <w:r>
        <w:t xml:space="preserve">UMAP + HDBSCAN identified vast, previously invisible sub-populations handling detox and behavioral withdrawal differently than classical opioid abuse.</w:t>
      </w:r>
    </w:p>
    <w:bookmarkEnd w:id="12"/>
    <w:bookmarkStart w:id="13" w:name="X267eec380b0db255028470b6538ab02b716217a"/>
    <w:p>
      <w:pPr>
        <w:pStyle w:val="Heading2"/>
      </w:pPr>
      <w:r>
        <w:t xml:space="preserve">5. Clinical Documentation Bridge (Revenue &amp; Surveillance)</w:t>
      </w:r>
    </w:p>
    <w:p>
      <w:pPr>
        <w:pStyle w:val="FirstParagraph"/>
      </w:pPr>
      <w:r>
        <w:t xml:space="preserve">Detecting an underlying SUD but failing to clinically bill for it results in extreme revenue loss via MS-DRG severity downgrades.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 Performance:</w:t>
      </w:r>
      <w:r>
        <w:t xml:space="preserve"> </w:t>
      </w:r>
      <w:r>
        <w:t xml:space="preserve">On a test batch of 105 synthetic clinical claims, our RAG+Claude agent detected</w:t>
      </w:r>
      <w:r>
        <w:t xml:space="preserve"> </w:t>
      </w:r>
      <w:r>
        <w:rPr>
          <w:b/>
          <w:bCs/>
        </w:rPr>
        <w:t xml:space="preserve">46 uncoded SUD gaps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Empirical Revenue Impact:</w:t>
      </w:r>
      <w:r>
        <w:t xml:space="preserve"> </w:t>
      </w:r>
      <w:r>
        <w:t xml:space="preserve">By pairing these gaps with live CMS DRG weights, the agent quantified</w:t>
      </w:r>
      <w:r>
        <w:t xml:space="preserve"> </w:t>
      </w:r>
      <w:r>
        <w:rPr>
          <w:b/>
          <w:bCs/>
        </w:rPr>
        <w:t xml:space="preserve">$7,856.32</w:t>
      </w:r>
      <w:r>
        <w:t xml:space="preserve"> </w:t>
      </w:r>
      <w:r>
        <w:t xml:space="preserve">in uncaptured revenue.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Extrapolation:</w:t>
      </w:r>
      <w:r>
        <w:t xml:space="preserve"> </w:t>
      </w:r>
      <w:r>
        <w:t xml:space="preserve">Scaling this to an average hospital (10k admissions/year) at a 15% undercode rate yields</w:t>
      </w:r>
      <w:r>
        <w:t xml:space="preserve"> </w:t>
      </w:r>
      <w:r>
        <w:rPr>
          <w:b/>
          <w:bCs/>
        </w:rPr>
        <w:t xml:space="preserve">~$27.5M</w:t>
      </w:r>
      <w:r>
        <w:t xml:space="preserve"> </w:t>
      </w:r>
      <w:r>
        <w:t xml:space="preserve">in annual uncaptured revenue and drastically corrects the CDC’s SUD surveillance undercount.</w:t>
      </w:r>
    </w:p>
    <w:bookmarkEnd w:id="13"/>
    <w:bookmarkStart w:id="14" w:name="innovation-ethics"/>
    <w:p>
      <w:pPr>
        <w:pStyle w:val="Heading2"/>
      </w:pPr>
      <w:r>
        <w:t xml:space="preserve">6. Innovation &amp; Ethics</w:t>
      </w:r>
    </w:p>
    <w:p>
      <w:pPr>
        <w:pStyle w:val="FirstParagraph"/>
      </w:pPr>
      <w:r>
        <w:t xml:space="preserve">ClinIQ contains zero individual patient data. All embeddings trace to verifiable CDC/CMS URLs (No AI Hallucinations). It is the first framework uniquely bridging population-level social signal screening explicitly with hospital revenue recovery via RAG integration.</w:t>
      </w:r>
    </w:p>
    <w:p>
      <w:pPr>
        <w:pStyle w:val="BodyText"/>
      </w:pPr>
      <w:r>
        <w:rPr>
          <w:i/>
          <w:iCs/>
        </w:rPr>
        <w:t xml:space="preserve">Code &amp; Dashboard: Available on the ClinIQ GitHub repository.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2026-04-06T05:30:09Z</dcterms:created>
  <dcterms:modified xsi:type="dcterms:W3CDTF">2026-04-06T05:30:09Z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