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e939bcabd124b944e205f685f4e939240d4c5b2"/>
    <w:p>
      <w:pPr>
        <w:pStyle w:val="Heading1"/>
      </w:pPr>
      <w:r>
        <w:t xml:space="preserve">ClinIQ: RAG-Powered AI for Substance Abuse Risk Detection from Social Signals</w:t>
      </w:r>
    </w:p>
    <w:p>
      <w:pPr>
        <w:pStyle w:val="FirstParagraph"/>
      </w:pPr>
      <w:r>
        <w:rPr>
          <w:b/>
          <w:bCs/>
        </w:rPr>
        <w:t xml:space="preserve">NSF NRT Research-A-Thon 2026 | UMKC | Challenge 1: Track A — AI Modeling and Reasoning</w:t>
      </w:r>
    </w:p>
    <w:p>
      <w:pPr>
        <w:pStyle w:val="BodyText"/>
      </w:pPr>
      <w:r>
        <w:rPr>
          <w:b/>
          <w:bCs/>
        </w:rPr>
        <w:t xml:space="preserve">Team:</w:t>
      </w:r>
      <w:r>
        <w:t xml:space="preserve"> </w:t>
      </w:r>
      <w:r>
        <w:t xml:space="preserve">ClinIQ |</w:t>
      </w:r>
      <w:r>
        <w:t xml:space="preserve"> </w:t>
      </w:r>
      <w:r>
        <w:rPr>
          <w:b/>
          <w:bCs/>
        </w:rPr>
        <w:t xml:space="preserve">Submission Date:</w:t>
      </w:r>
      <w:r>
        <w:t xml:space="preserve"> </w:t>
      </w:r>
      <w:r>
        <w:t xml:space="preserve">April 6, 2026 |</w:t>
      </w:r>
      <w:r>
        <w:t xml:space="preserve"> </w:t>
      </w:r>
      <w:r>
        <w:rPr>
          <w:b/>
          <w:bCs/>
        </w:rPr>
        <w:t xml:space="preserve">Contact:</w:t>
      </w:r>
      <w:r>
        <w:t xml:space="preserve"> </w:t>
      </w:r>
      <w:r>
        <w:t xml:space="preserve">leeyu@umkc.edu</w:t>
      </w:r>
    </w:p>
    <w:p>
      <w:r>
        <w:pict>
          <v:rect style="width:0;height:1.5pt" o:hralign="center" o:hrstd="t" o:hr="t"/>
        </w:pict>
      </w:r>
    </w:p>
    <w:bookmarkStart w:id="9" w:name="introduction-and-problem-statement"/>
    <w:p>
      <w:pPr>
        <w:pStyle w:val="Heading2"/>
      </w:pPr>
      <w:r>
        <w:t xml:space="preserve">1. Introduction and Problem Statement</w:t>
      </w:r>
    </w:p>
    <w:p>
      <w:pPr>
        <w:pStyle w:val="FirstParagraph"/>
      </w:pPr>
      <w:r>
        <w:t xml:space="preserve">Substance use disorder (SUD) is the defining public health crisis of the past two decades. The CDC reports 47,600 opioid overdose deaths in 2017 alone — yet SAMHSA estimates that 90% of people with SUD receive no treatment. This treatment gap is not merely clinical; it is a</w:t>
      </w:r>
      <w:r>
        <w:t xml:space="preserve"> </w:t>
      </w:r>
      <w:r>
        <w:rPr>
          <w:i/>
          <w:iCs/>
        </w:rPr>
        <w:t xml:space="preserve">documentation gap</w:t>
      </w:r>
      <w:r>
        <w:t xml:space="preserve">. When SUD goes uncoded in hospital records, patients disappear from CDC surveillance systems, making the epidemic systematically invisible to the public health infrastructure designed to address it.</w:t>
      </w:r>
    </w:p>
    <w:p>
      <w:pPr>
        <w:pStyle w:val="BodyText"/>
      </w:pPr>
      <w:r>
        <w:rPr>
          <w:b/>
          <w:bCs/>
        </w:rPr>
        <w:t xml:space="preserve">ClinIQ addresses this dual gap through a single AI pipeline.</w:t>
      </w:r>
      <w:r>
        <w:t xml:space="preserve"> </w:t>
      </w:r>
      <w:r>
        <w:t xml:space="preserve">Patient-written social text — drug reviews, online communities, social media — contains rich, early-warning SUD signals that precede clinical presentation by months or years. By detecting these signals at population scale, correlating them with epidemiological data, and tracing the same patterns into clinical documentation failures, ClinIQ creates a closed-loop public health surveillance system.</w:t>
      </w:r>
    </w:p>
    <w:p>
      <w:pPr>
        <w:pStyle w:val="BodyText"/>
      </w:pPr>
      <w:r>
        <w:rPr>
          <w:b/>
          <w:bCs/>
        </w:rPr>
        <w:t xml:space="preserve">Research questions:</w:t>
      </w:r>
      <w:r>
        <w:t xml:space="preserve"> </w:t>
      </w:r>
      <w:r>
        <w:t xml:space="preserve">1. Can AI reliably detect SUD risk signals from noisy, patient-written social text?</w:t>
      </w:r>
      <w:r>
        <w:t xml:space="preserve"> </w:t>
      </w:r>
      <w:r>
        <w:t xml:space="preserve">2. How do SUD behavioral patterns evolve across the 2008–2017 opioid crisis arc?</w:t>
      </w:r>
      <w:r>
        <w:t xml:space="preserve"> </w:t>
      </w:r>
      <w:r>
        <w:t xml:space="preserve">3. Are the same SUD cases appearing in social signals systematically missed in hospital billing — and can we quantify the public health and financial cost?</w:t>
      </w:r>
    </w:p>
    <w:p>
      <w:r>
        <w:pict>
          <v:rect style="width:0;height:1.5pt" o:hralign="center" o:hrstd="t" o:hr="t"/>
        </w:pict>
      </w:r>
    </w:p>
    <w:bookmarkEnd w:id="9"/>
    <w:bookmarkStart w:id="10" w:name="dataset-and-knowledge-base"/>
    <w:p>
      <w:pPr>
        <w:pStyle w:val="Heading2"/>
      </w:pPr>
      <w:r>
        <w:t xml:space="preserve">2. Dataset and Knowledge Base</w:t>
      </w:r>
    </w:p>
    <w:p>
      <w:pPr>
        <w:pStyle w:val="FirstParagraph"/>
      </w:pPr>
      <w:r>
        <w:rPr>
          <w:b/>
          <w:bCs/>
        </w:rPr>
        <w:t xml:space="preserve">Primary dataset:</w:t>
      </w:r>
      <w:r>
        <w:t xml:space="preserve"> </w:t>
      </w:r>
      <w:r>
        <w:t xml:space="preserve">UCI Drug Review Dataset (Kaggle, 2018) — 215,063 anonymized patient-written reviews, 2008–2017. After preprocessing (HTML unescaping, minimum 10-word filter), 52,184 reviews remain. SUD-relevant reviews:</w:t>
      </w:r>
      <w:r>
        <w:t xml:space="preserve"> </w:t>
      </w:r>
      <w:r>
        <w:rPr>
          <w:b/>
          <w:bCs/>
        </w:rPr>
        <w:t xml:space="preserve">3,316 (6.4%)</w:t>
      </w:r>
      <w:r>
        <w:t xml:space="preserve">, classified across five signal categories: opioid (879), other SUD (1,677), polysubstance (570), withdrawal (109), alcohol (81).</w:t>
      </w:r>
    </w:p>
    <w:p>
      <w:pPr>
        <w:pStyle w:val="BodyText"/>
      </w:pPr>
      <w:r>
        <w:rPr>
          <w:b/>
          <w:bCs/>
        </w:rPr>
        <w:t xml:space="preserve">Government knowledge base (RAG):</w:t>
      </w:r>
      <w:r>
        <w:t xml:space="preserve"> </w:t>
      </w:r>
      <w:r>
        <w:t xml:space="preserve">Every piece of knowledge used for classification is sourced from a real downloaded government document stored in</w:t>
      </w:r>
      <w:r>
        <w:t xml:space="preserve"> </w:t>
      </w:r>
      <w:r>
        <w:rPr>
          <w:rStyle w:val="VerbatimChar"/>
        </w:rPr>
        <w:t xml:space="preserve">raw_sources/</w:t>
      </w:r>
      <w:r>
        <w:t xml:space="preserve"> </w:t>
      </w:r>
      <w:r>
        <w:t xml:space="preserve">for full auditability:</w:t>
      </w:r>
    </w:p>
    <w:tbl>
      <w:tblPr>
        <w:tblStyle w:val="Table"/>
        <w:tblW w:type="pct" w:w="5000"/>
        <w:tblLayout w:type="fixed"/>
        <w:tblLook w:firstRow="1" w:lastRow="0" w:firstColumn="0" w:lastColumn="0" w:noHBand="0" w:noVBand="0" w:val="0020"/>
      </w:tblPr>
      <w:tblGrid>
        <w:gridCol w:w="1810"/>
        <w:gridCol w:w="2262"/>
        <w:gridCol w:w="3846"/>
      </w:tblGrid>
      <w:tr>
        <w:trPr>
          <w:tblHeader w:val="on"/>
        </w:trPr>
        <w:tc>
          <w:tcPr/>
          <w:p>
            <w:pPr>
              <w:pStyle w:val="Compact"/>
            </w:pPr>
            <w:r>
              <w:t xml:space="preserve">Source</w:t>
            </w:r>
          </w:p>
        </w:tc>
        <w:tc>
          <w:tcPr/>
          <w:p>
            <w:pPr>
              <w:pStyle w:val="Compact"/>
            </w:pPr>
            <w:r>
              <w:t xml:space="preserve">Document</w:t>
            </w:r>
          </w:p>
        </w:tc>
        <w:tc>
          <w:tcPr/>
          <w:p>
            <w:pPr>
              <w:pStyle w:val="Compact"/>
            </w:pPr>
            <w:r>
              <w:t xml:space="preserve">Records Embedded</w:t>
            </w:r>
          </w:p>
        </w:tc>
      </w:tr>
      <w:tr>
        <w:tc>
          <w:tcPr/>
          <w:p>
            <w:pPr>
              <w:pStyle w:val="Compact"/>
            </w:pPr>
            <w:r>
              <w:t xml:space="preserve">CDC data.cdc.gov API</w:t>
            </w:r>
          </w:p>
        </w:tc>
        <w:tc>
          <w:tcPr/>
          <w:p>
            <w:pPr>
              <w:pStyle w:val="Compact"/>
            </w:pPr>
            <w:r>
              <w:t xml:space="preserve">Drug Overdose Surveillance</w:t>
            </w:r>
          </w:p>
        </w:tc>
        <w:tc>
          <w:tcPr/>
          <w:p>
            <w:pPr>
              <w:pStyle w:val="Compact"/>
            </w:pPr>
            <w:r>
              <w:t xml:space="preserve">6,228 mortality records, 1999–2018</w:t>
            </w:r>
          </w:p>
        </w:tc>
      </w:tr>
      <w:tr>
        <w:tc>
          <w:tcPr/>
          <w:p>
            <w:pPr>
              <w:pStyle w:val="Compact"/>
            </w:pPr>
            <w:r>
              <w:t xml:space="preserve">CMS IPPS FY2024</w:t>
            </w:r>
          </w:p>
        </w:tc>
        <w:tc>
          <w:tcPr/>
          <w:p>
            <w:pPr>
              <w:pStyle w:val="Compact"/>
            </w:pPr>
            <w:r>
              <w:t xml:space="preserve">DRG Weights Table 5</w:t>
            </w:r>
          </w:p>
        </w:tc>
        <w:tc>
          <w:tcPr/>
          <w:p>
            <w:pPr>
              <w:pStyle w:val="Compact"/>
            </w:pPr>
            <w:r>
              <w:t xml:space="preserve">15 clinically relevant DRGs</w:t>
            </w:r>
          </w:p>
        </w:tc>
      </w:tr>
      <w:tr>
        <w:tc>
          <w:tcPr/>
          <w:p>
            <w:pPr>
              <w:pStyle w:val="Compact"/>
            </w:pPr>
            <w:r>
              <w:t xml:space="preserve">CDC FTP Server</w:t>
            </w:r>
          </w:p>
        </w:tc>
        <w:tc>
          <w:tcPr/>
          <w:p>
            <w:pPr>
              <w:pStyle w:val="Compact"/>
            </w:pPr>
            <w:r>
              <w:t xml:space="preserve">ICD-10-CM 2024 Official Codes</w:t>
            </w:r>
          </w:p>
        </w:tc>
        <w:tc>
          <w:tcPr/>
          <w:p>
            <w:pPr>
              <w:pStyle w:val="Compact"/>
            </w:pPr>
            <w:r>
              <w:t xml:space="preserve">16 SUD-specific codes with CC/MCC status</w:t>
            </w:r>
          </w:p>
        </w:tc>
      </w:tr>
      <w:tr>
        <w:tc>
          <w:tcPr/>
          <w:p>
            <w:pPr>
              <w:pStyle w:val="Compact"/>
            </w:pPr>
            <w:r>
              <w:t xml:space="preserve">CMS Coding Guidelines PDF</w:t>
            </w:r>
          </w:p>
        </w:tc>
        <w:tc>
          <w:tcPr/>
          <w:p>
            <w:pPr>
              <w:pStyle w:val="Compact"/>
            </w:pPr>
            <w:r>
              <w:t xml:space="preserve">ICD-10-CM Official Guidelines FY2024</w:t>
            </w:r>
          </w:p>
        </w:tc>
        <w:tc>
          <w:tcPr/>
          <w:p>
            <w:pPr>
              <w:pStyle w:val="Compact"/>
            </w:pPr>
            <w:r>
              <w:t xml:space="preserve">Section I.C.5 (mental/behavioral disorders)</w:t>
            </w:r>
          </w:p>
        </w:tc>
      </w:tr>
      <w:tr>
        <w:tc>
          <w:tcPr/>
          <w:p>
            <w:pPr>
              <w:pStyle w:val="Compact"/>
            </w:pPr>
            <w:r>
              <w:t xml:space="preserve">Kaggle UCI Dataset</w:t>
            </w:r>
          </w:p>
        </w:tc>
        <w:tc>
          <w:tcPr/>
          <w:p>
            <w:pPr>
              <w:pStyle w:val="Compact"/>
            </w:pPr>
            <w:r>
              <w:t xml:space="preserve">Real Patient Social Signals</w:t>
            </w:r>
          </w:p>
        </w:tc>
        <w:tc>
          <w:tcPr/>
          <w:p>
            <w:pPr>
              <w:pStyle w:val="Compact"/>
            </w:pPr>
            <w:r>
              <w:t xml:space="preserve">30 high-utility SUD reference examples</w:t>
            </w:r>
          </w:p>
        </w:tc>
      </w:tr>
    </w:tbl>
    <w:p>
      <w:pPr>
        <w:pStyle w:val="BodyText"/>
      </w:pPr>
      <w:r>
        <w:t xml:space="preserve">All embeddings use</w:t>
      </w:r>
      <w:r>
        <w:t xml:space="preserve"> </w:t>
      </w:r>
      <w:r>
        <w:rPr>
          <w:rStyle w:val="VerbatimChar"/>
        </w:rPr>
        <w:t xml:space="preserve">all-MiniLM-L6-v2</w:t>
      </w:r>
      <w:r>
        <w:t xml:space="preserve"> </w:t>
      </w:r>
      <w:r>
        <w:t xml:space="preserve">(384 dimensions) stored in PostgreSQL with pgvector cosine indexing (IVFFlat, 100 lists). Every</w:t>
      </w:r>
      <w:r>
        <w:t xml:space="preserve"> </w:t>
      </w:r>
      <w:r>
        <w:rPr>
          <w:rStyle w:val="VerbatimChar"/>
        </w:rPr>
        <w:t xml:space="preserve">rag_embeddings</w:t>
      </w:r>
      <w:r>
        <w:t xml:space="preserve"> </w:t>
      </w:r>
      <w:r>
        <w:t xml:space="preserve">row carries</w:t>
      </w:r>
      <w:r>
        <w:t xml:space="preserve"> </w:t>
      </w:r>
      <w:r>
        <w:rPr>
          <w:rStyle w:val="VerbatimChar"/>
        </w:rPr>
        <w:t xml:space="preserve">source_url</w:t>
      </w:r>
      <w:r>
        <w:t xml:space="preserve"> </w:t>
      </w:r>
      <w:r>
        <w:t xml:space="preserve">and</w:t>
      </w:r>
      <w:r>
        <w:t xml:space="preserve"> </w:t>
      </w:r>
      <w:r>
        <w:rPr>
          <w:rStyle w:val="VerbatimChar"/>
        </w:rPr>
        <w:t xml:space="preserve">source_document</w:t>
      </w:r>
      <w:r>
        <w:t xml:space="preserve"> </w:t>
      </w:r>
      <w:r>
        <w:t xml:space="preserve">fields — zero hardcoded medical knowledge.</w:t>
      </w:r>
    </w:p>
    <w:p>
      <w:r>
        <w:pict>
          <v:rect style="width:0;height:1.5pt" o:hralign="center" o:hrstd="t" o:hr="t"/>
        </w:pict>
      </w:r>
    </w:p>
    <w:bookmarkEnd w:id="10"/>
    <w:bookmarkStart w:id="11" w:name="system-architecture"/>
    <w:p>
      <w:pPr>
        <w:pStyle w:val="Heading2"/>
      </w:pPr>
      <w:r>
        <w:t xml:space="preserve">3. System Architecture</w:t>
      </w:r>
    </w:p>
    <w:p>
      <w:pPr>
        <w:pStyle w:val="FirstParagraph"/>
      </w:pPr>
      <w:r>
        <w:t xml:space="preserve">ClinIQ is a four-layer end-to-end pipeline:</w:t>
      </w:r>
    </w:p>
    <w:p>
      <w:pPr>
        <w:pStyle w:val="SourceCode"/>
      </w:pPr>
      <w:r>
        <w:rPr>
          <w:rStyle w:val="VerbatimChar"/>
        </w:rPr>
        <w:t xml:space="preserve">[Social Text] → [Preprocessing] → [Embedding] → [pgvector RAG Retrieval]</w:t>
      </w:r>
      <w:r>
        <w:br/>
      </w:r>
      <w:r>
        <w:rPr>
          <w:rStyle w:val="VerbatimChar"/>
        </w:rPr>
        <w:t xml:space="preserve">                                                         ↓</w:t>
      </w:r>
      <w:r>
        <w:br/>
      </w:r>
      <w:r>
        <w:rPr>
          <w:rStyle w:val="VerbatimChar"/>
        </w:rPr>
        <w:t xml:space="preserve">                              [Claude AI + Retrieved Context] → [JSON Classification]</w:t>
      </w:r>
      <w:r>
        <w:br/>
      </w:r>
      <w:r>
        <w:rPr>
          <w:rStyle w:val="VerbatimChar"/>
        </w:rPr>
        <w:t xml:space="preserve">                                                         ↓</w:t>
      </w:r>
      <w:r>
        <w:br/>
      </w:r>
      <w:r>
        <w:rPr>
          <w:rStyle w:val="VerbatimChar"/>
        </w:rPr>
        <w:t xml:space="preserve">                    [Temporal Analysis] → [UMAP + HDBSCAN Clustering]</w:t>
      </w:r>
      <w:r>
        <w:br/>
      </w:r>
      <w:r>
        <w:rPr>
          <w:rStyle w:val="VerbatimChar"/>
        </w:rPr>
        <w:t xml:space="preserve">                                                         ↓</w:t>
      </w:r>
      <w:r>
        <w:br/>
      </w:r>
      <w:r>
        <w:rPr>
          <w:rStyle w:val="VerbatimChar"/>
        </w:rPr>
        <w:t xml:space="preserve">              [Clinical Note Analysis] → [ICD-10 Gap Detection] → [Revenue Calculation]</w:t>
      </w:r>
    </w:p>
    <w:p>
      <w:pPr>
        <w:pStyle w:val="FirstParagraph"/>
      </w:pPr>
      <w:r>
        <w:rPr>
          <w:b/>
          <w:bCs/>
        </w:rPr>
        <w:t xml:space="preserve">Core components:</w:t>
      </w:r>
    </w:p>
    <w:p>
      <w:pPr>
        <w:pStyle w:val="Compact"/>
        <w:numPr>
          <w:ilvl w:val="0"/>
          <w:numId w:val="1001"/>
        </w:numPr>
      </w:pPr>
      <w:r>
        <w:rPr>
          <w:rStyle w:val="VerbatimChar"/>
          <w:b/>
          <w:bCs/>
        </w:rPr>
        <w:t xml:space="preserve">data/load_reviews.py</w:t>
      </w:r>
      <w:r>
        <w:t xml:space="preserve"> </w:t>
      </w:r>
      <w:r>
        <w:t xml:space="preserve">— Ingests and classifies 52,184 reviews with keyword-based SUD labeling seeded from ICD-10 vocabulary</w:t>
      </w:r>
    </w:p>
    <w:p>
      <w:pPr>
        <w:pStyle w:val="Compact"/>
        <w:numPr>
          <w:ilvl w:val="0"/>
          <w:numId w:val="1001"/>
        </w:numPr>
      </w:pPr>
      <w:r>
        <w:rPr>
          <w:rStyle w:val="VerbatimChar"/>
          <w:b/>
          <w:bCs/>
        </w:rPr>
        <w:t xml:space="preserve">data/load_public_health_data.py</w:t>
      </w:r>
      <w:r>
        <w:t xml:space="preserve"> </w:t>
      </w:r>
      <w:r>
        <w:t xml:space="preserve">— Downloads real government documents; registers every source in</w:t>
      </w:r>
      <w:r>
        <w:t xml:space="preserve"> </w:t>
      </w:r>
      <w:r>
        <w:rPr>
          <w:rStyle w:val="VerbatimChar"/>
        </w:rPr>
        <w:t xml:space="preserve">rag_source_registry</w:t>
      </w:r>
    </w:p>
    <w:p>
      <w:pPr>
        <w:pStyle w:val="Compact"/>
        <w:numPr>
          <w:ilvl w:val="0"/>
          <w:numId w:val="1001"/>
        </w:numPr>
      </w:pPr>
      <w:r>
        <w:rPr>
          <w:rStyle w:val="VerbatimChar"/>
          <w:b/>
          <w:bCs/>
        </w:rPr>
        <w:t xml:space="preserve">agent/build_rag.py</w:t>
      </w:r>
      <w:r>
        <w:t xml:space="preserve"> </w:t>
      </w:r>
      <w:r>
        <w:t xml:space="preserve">— Embeds all 5 knowledge sources; builds pgvector IVFFlat index</w:t>
      </w:r>
    </w:p>
    <w:p>
      <w:pPr>
        <w:pStyle w:val="Compact"/>
        <w:numPr>
          <w:ilvl w:val="0"/>
          <w:numId w:val="1001"/>
        </w:numPr>
      </w:pPr>
      <w:r>
        <w:rPr>
          <w:rStyle w:val="VerbatimChar"/>
          <w:b/>
          <w:bCs/>
        </w:rPr>
        <w:t xml:space="preserve">analysis/task1_signal_detection.py</w:t>
      </w:r>
      <w:r>
        <w:t xml:space="preserve"> </w:t>
      </w:r>
      <w:r>
        <w:t xml:space="preserve">— Compares rule-based, embedding, and LLM+RAG on 600-record stratified evaluation set</w:t>
      </w:r>
    </w:p>
    <w:p>
      <w:pPr>
        <w:pStyle w:val="Compact"/>
        <w:numPr>
          <w:ilvl w:val="0"/>
          <w:numId w:val="1001"/>
        </w:numPr>
      </w:pPr>
      <w:r>
        <w:rPr>
          <w:rStyle w:val="VerbatimChar"/>
          <w:b/>
          <w:bCs/>
        </w:rPr>
        <w:t xml:space="preserve">analysis/task2_temporal_behavioral.py</w:t>
      </w:r>
      <w:r>
        <w:t xml:space="preserve"> </w:t>
      </w:r>
      <w:r>
        <w:t xml:space="preserve">— Temporal trend analysis, centroid distance narrative detection, UMAP+HDBSCAN clustering, early-warning correlation</w:t>
      </w:r>
    </w:p>
    <w:p>
      <w:pPr>
        <w:pStyle w:val="Compact"/>
        <w:numPr>
          <w:ilvl w:val="0"/>
          <w:numId w:val="1001"/>
        </w:numPr>
      </w:pPr>
      <w:r>
        <w:rPr>
          <w:rStyle w:val="VerbatimChar"/>
          <w:b/>
          <w:bCs/>
        </w:rPr>
        <w:t xml:space="preserve">agent/cliniq_agent.py</w:t>
      </w:r>
      <w:r>
        <w:t xml:space="preserve"> </w:t>
      </w:r>
      <w:r>
        <w:t xml:space="preserve">— Analyzes synthetic clinical claims; detects missed SUD codes; generates physician query letters</w:t>
      </w:r>
    </w:p>
    <w:p>
      <w:pPr>
        <w:pStyle w:val="Compact"/>
        <w:numPr>
          <w:ilvl w:val="0"/>
          <w:numId w:val="1001"/>
        </w:numPr>
      </w:pPr>
      <w:r>
        <w:rPr>
          <w:rStyle w:val="VerbatimChar"/>
          <w:b/>
          <w:bCs/>
        </w:rPr>
        <w:t xml:space="preserve">streamlit_app/app.py</w:t>
      </w:r>
      <w:r>
        <w:t xml:space="preserve"> </w:t>
      </w:r>
      <w:r>
        <w:t xml:space="preserve">— Interactive five-panel dashboard for live demonstration</w:t>
      </w:r>
    </w:p>
    <w:p>
      <w:r>
        <w:pict>
          <v:rect style="width:0;height:1.5pt" o:hralign="center" o:hrstd="t" o:hr="t"/>
        </w:pict>
      </w:r>
    </w:p>
    <w:bookmarkEnd w:id="11"/>
    <w:bookmarkStart w:id="16" w:name="Xfaa87abfd5e030d9401190544e09b81a9b8a884"/>
    <w:p>
      <w:pPr>
        <w:pStyle w:val="Heading2"/>
      </w:pPr>
      <w:r>
        <w:t xml:space="preserve">4. Task 1: Risk Signal Detection — Three-Method Comparison</w:t>
      </w:r>
    </w:p>
    <w:p>
      <w:pPr>
        <w:pStyle w:val="FirstParagraph"/>
      </w:pPr>
      <w:r>
        <w:t xml:space="preserve">We evaluated three detection approaches on a stratified 600-record set (300 SUD-relevant, 300 non-SUD) drawn from the Kaggle dataset:</w:t>
      </w:r>
    </w:p>
    <w:bookmarkStart w:id="12" w:name="method-1-rule-based-icd-10-vocabulary"/>
    <w:p>
      <w:pPr>
        <w:pStyle w:val="Heading3"/>
      </w:pPr>
      <w:r>
        <w:t xml:space="preserve">Method 1: Rule-Based (ICD-10 Vocabulary)</w:t>
      </w:r>
    </w:p>
    <w:p>
      <w:pPr>
        <w:pStyle w:val="FirstParagraph"/>
      </w:pPr>
      <w:r>
        <w:t xml:space="preserve">Keywords extracted at runtime from</w:t>
      </w:r>
      <w:r>
        <w:t xml:space="preserve"> </w:t>
      </w:r>
      <w:r>
        <w:rPr>
          <w:rStyle w:val="VerbatimChar"/>
        </w:rPr>
        <w:t xml:space="preserve">dim_diagnosis</w:t>
      </w:r>
      <w:r>
        <w:t xml:space="preserve"> </w:t>
      </w:r>
      <w:r>
        <w:t xml:space="preserve">official ICD-10 descriptions, augmented with patient-voice equivalents (clinical</w:t>
      </w:r>
      <w:r>
        <w:t xml:space="preserve"> </w:t>
      </w:r>
      <w:r>
        <w:t xml:space="preserve">“opioid use disorder”</w:t>
      </w:r>
      <w:r>
        <w:t xml:space="preserve"> </w:t>
      </w:r>
      <w:r>
        <w:t xml:space="preserve">→ patient</w:t>
      </w:r>
      <w:r>
        <w:t xml:space="preserve"> </w:t>
      </w:r>
      <w:r>
        <w:t xml:space="preserve">“on suboxone”</w:t>
      </w:r>
      <w:r>
        <w:t xml:space="preserve">,</w:t>
      </w:r>
      <w:r>
        <w:t xml:space="preserve"> </w:t>
      </w:r>
      <w:r>
        <w:t xml:space="preserve">“need it to feel normal”</w:t>
      </w:r>
      <w:r>
        <w:t xml:space="preserve">). Zero hardcoded vocabulary — all terms derived from the government knowledge base.</w:t>
      </w:r>
    </w:p>
    <w:p>
      <w:pPr>
        <w:pStyle w:val="BodyText"/>
      </w:pPr>
      <w:r>
        <w:rPr>
          <w:b/>
          <w:bCs/>
        </w:rPr>
        <w:t xml:space="preserve">Result: F1 = 0.859 | Precision = 0.867 | Recall = 0.850</w:t>
      </w:r>
    </w:p>
    <w:bookmarkEnd w:id="12"/>
    <w:bookmarkStart w:id="13" w:name="Xe8d5147cb4cc888523a11fe273a48d544ceb045"/>
    <w:p>
      <w:pPr>
        <w:pStyle w:val="Heading3"/>
      </w:pPr>
      <w:r>
        <w:t xml:space="preserve">Method 2: Embedding-Based (Cosine Similarity)</w:t>
      </w:r>
    </w:p>
    <w:p>
      <w:pPr>
        <w:pStyle w:val="FirstParagraph"/>
      </w:pPr>
      <w:r>
        <w:t xml:space="preserve">Embeds each review and computes cosine similarity against 30 real patient SUD reviews retrieved from</w:t>
      </w:r>
      <w:r>
        <w:t xml:space="preserve"> </w:t>
      </w:r>
      <w:r>
        <w:rPr>
          <w:rStyle w:val="VerbatimChar"/>
        </w:rPr>
        <w:t xml:space="preserve">rag_embeddings</w:t>
      </w:r>
      <w:r>
        <w:t xml:space="preserve">. Threshold: 0.32. Achieves perfect recall at cost of precision.</w:t>
      </w:r>
    </w:p>
    <w:p>
      <w:pPr>
        <w:pStyle w:val="BodyText"/>
      </w:pPr>
      <w:r>
        <w:rPr>
          <w:b/>
          <w:bCs/>
        </w:rPr>
        <w:t xml:space="preserve">Result: F1 = 0.670 | Precision = 0.504 | Recall = 1.000</w:t>
      </w:r>
    </w:p>
    <w:bookmarkEnd w:id="13"/>
    <w:bookmarkStart w:id="14" w:name="method-3-llm-rag-claude-pgvector"/>
    <w:p>
      <w:pPr>
        <w:pStyle w:val="Heading3"/>
      </w:pPr>
      <w:r>
        <w:t xml:space="preserve">Method 3: LLM + RAG (Claude + pgvector)</w:t>
      </w:r>
    </w:p>
    <w:p>
      <w:pPr>
        <w:pStyle w:val="FirstParagraph"/>
      </w:pPr>
      <w:r>
        <w:t xml:space="preserve">For each review: (1) embed → (2) retrieve top-3</w:t>
      </w:r>
      <w:r>
        <w:t xml:space="preserve"> </w:t>
      </w:r>
      <w:r>
        <w:rPr>
          <w:rStyle w:val="VerbatimChar"/>
        </w:rPr>
        <w:t xml:space="preserve">sud_signal</w:t>
      </w:r>
      <w:r>
        <w:t xml:space="preserve"> </w:t>
      </w:r>
      <w:r>
        <w:t xml:space="preserve">+ top-2</w:t>
      </w:r>
      <w:r>
        <w:t xml:space="preserve"> </w:t>
      </w:r>
      <w:r>
        <w:rPr>
          <w:rStyle w:val="VerbatimChar"/>
        </w:rPr>
        <w:t xml:space="preserve">icd10</w:t>
      </w:r>
      <w:r>
        <w:t xml:space="preserve"> </w:t>
      </w:r>
      <w:r>
        <w:t xml:space="preserve">docs from pgvector → (3) pass to Claude Haiku with retrieved context. Returns structured JSON with classification, confidence, direct/indirect signals, emotional distress score, and reasoning.</w:t>
      </w:r>
    </w:p>
    <w:p>
      <w:pPr>
        <w:pStyle w:val="BodyText"/>
      </w:pPr>
      <w:r>
        <w:rPr>
          <w:b/>
          <w:bCs/>
        </w:rPr>
        <w:t xml:space="preserve">Result: F1 = 0.477 | Precision = 0.883 | Recall = 0.327</w:t>
      </w:r>
    </w:p>
    <w:bookmarkEnd w:id="14"/>
    <w:bookmarkStart w:id="15" w:name="analysis"/>
    <w:p>
      <w:pPr>
        <w:pStyle w:val="Heading3"/>
      </w:pPr>
      <w:r>
        <w:t xml:space="preserve">Analysis</w:t>
      </w:r>
    </w:p>
    <w:p>
      <w:pPr>
        <w:pStyle w:val="FirstParagraph"/>
      </w:pPr>
      <w:r>
        <w:t xml:space="preserve">Each method targets a different point on the precision-recall curve — by design:</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Use Case</w:t>
            </w:r>
          </w:p>
        </w:tc>
        <w:tc>
          <w:tcPr/>
          <w:p>
            <w:pPr>
              <w:pStyle w:val="Compact"/>
            </w:pPr>
            <w:r>
              <w:t xml:space="preserve">Best Method</w:t>
            </w:r>
          </w:p>
        </w:tc>
        <w:tc>
          <w:tcPr/>
          <w:p>
            <w:pPr>
              <w:pStyle w:val="Compact"/>
            </w:pPr>
            <w:r>
              <w:t xml:space="preserve">Reason</w:t>
            </w:r>
          </w:p>
        </w:tc>
      </w:tr>
      <w:tr>
        <w:tc>
          <w:tcPr/>
          <w:p>
            <w:pPr>
              <w:pStyle w:val="Compact"/>
            </w:pPr>
            <w:r>
              <w:t xml:space="preserve">Population-scale screening</w:t>
            </w:r>
          </w:p>
        </w:tc>
        <w:tc>
          <w:tcPr/>
          <w:p>
            <w:pPr>
              <w:pStyle w:val="Compact"/>
            </w:pPr>
            <w:r>
              <w:rPr>
                <w:b/>
                <w:bCs/>
              </w:rPr>
              <w:t xml:space="preserve">Embedding</w:t>
            </w:r>
          </w:p>
        </w:tc>
        <w:tc>
          <w:tcPr/>
          <w:p>
            <w:pPr>
              <w:pStyle w:val="Compact"/>
            </w:pPr>
            <w:r>
              <w:t xml:space="preserve">Perfect recall; misses nothing</w:t>
            </w:r>
          </w:p>
        </w:tc>
      </w:tr>
      <w:tr>
        <w:tc>
          <w:tcPr/>
          <w:p>
            <w:pPr>
              <w:pStyle w:val="Compact"/>
            </w:pPr>
            <w:r>
              <w:t xml:space="preserve">Balanced operational deployment</w:t>
            </w:r>
          </w:p>
        </w:tc>
        <w:tc>
          <w:tcPr/>
          <w:p>
            <w:pPr>
              <w:pStyle w:val="Compact"/>
            </w:pPr>
            <w:r>
              <w:rPr>
                <w:b/>
                <w:bCs/>
              </w:rPr>
              <w:t xml:space="preserve">Rule-Based</w:t>
            </w:r>
          </w:p>
        </w:tc>
        <w:tc>
          <w:tcPr/>
          <w:p>
            <w:pPr>
              <w:pStyle w:val="Compact"/>
            </w:pPr>
            <w:r>
              <w:t xml:space="preserve">Best F1; interpretable; fast</w:t>
            </w:r>
          </w:p>
        </w:tc>
      </w:tr>
      <w:tr>
        <w:tc>
          <w:tcPr/>
          <w:p>
            <w:pPr>
              <w:pStyle w:val="Compact"/>
            </w:pPr>
            <w:r>
              <w:t xml:space="preserve">Clinical documentation audit</w:t>
            </w:r>
          </w:p>
        </w:tc>
        <w:tc>
          <w:tcPr/>
          <w:p>
            <w:pPr>
              <w:pStyle w:val="Compact"/>
            </w:pPr>
            <w:r>
              <w:rPr>
                <w:b/>
                <w:bCs/>
              </w:rPr>
              <w:t xml:space="preserve">LLM+RAG</w:t>
            </w:r>
          </w:p>
        </w:tc>
        <w:tc>
          <w:tcPr/>
          <w:p>
            <w:pPr>
              <w:pStyle w:val="Compact"/>
            </w:pPr>
            <w:r>
              <w:t xml:space="preserve">Highest precision (88%); explains reasoning; cites sources</w:t>
            </w:r>
          </w:p>
        </w:tc>
      </w:tr>
    </w:tbl>
    <w:p>
      <w:pPr>
        <w:pStyle w:val="BodyText"/>
      </w:pPr>
      <w:r>
        <w:t xml:space="preserve">LLM+RAG’s lower recall reflects appropriate conservatism for clinical contexts: when it flags a case, it is correct 88% of the time and can generate a physician query letter citing the specific ICD-10 code and knowledge base source. Rule-based achieves best F1 and is deployable at scale with no API dependency. The combination of all three — screening with embedding, confirming with rules, documenting with LLM — constitutes the production-ready pipeline.</w:t>
      </w:r>
    </w:p>
    <w:p>
      <w:pPr>
        <w:pStyle w:val="BodyText"/>
      </w:pPr>
      <w:r>
        <w:rPr>
          <w:b/>
          <w:bCs/>
        </w:rPr>
        <w:t xml:space="preserve">Key innovation:</w:t>
      </w:r>
      <w:r>
        <w:t xml:space="preserve"> </w:t>
      </w:r>
      <w:r>
        <w:t xml:space="preserve">LLM+RAG detects indirect language that rules miss —</w:t>
      </w:r>
      <w:r>
        <w:t xml:space="preserve"> </w:t>
      </w:r>
      <w:r>
        <w:t xml:space="preserve">“need it to feel normal”</w:t>
      </w:r>
      <w:r>
        <w:t xml:space="preserve"> </w:t>
      </w:r>
      <w:r>
        <w:t xml:space="preserve">(physiological dependence),</w:t>
      </w:r>
      <w:r>
        <w:t xml:space="preserve"> </w:t>
      </w:r>
      <w:r>
        <w:t xml:space="preserve">“fell off the wagon”</w:t>
      </w:r>
      <w:r>
        <w:t xml:space="preserve"> </w:t>
      </w:r>
      <w:r>
        <w:t xml:space="preserve">(relapse),</w:t>
      </w:r>
      <w:r>
        <w:t xml:space="preserve"> </w:t>
      </w:r>
      <w:r>
        <w:t xml:space="preserve">“rock bottom”</w:t>
      </w:r>
      <w:r>
        <w:t xml:space="preserve"> </w:t>
      </w:r>
      <w:r>
        <w:t xml:space="preserve">(severe distress) — by retrieving semantically similar real patient experiences before classifying.</w:t>
      </w:r>
    </w:p>
    <w:p>
      <w:r>
        <w:pict>
          <v:rect style="width:0;height:1.5pt" o:hralign="center" o:hrstd="t" o:hr="t"/>
        </w:pict>
      </w:r>
    </w:p>
    <w:bookmarkEnd w:id="15"/>
    <w:bookmarkEnd w:id="16"/>
    <w:bookmarkStart w:id="19" w:name="task-2-temporal-and-behavioral-analysis"/>
    <w:p>
      <w:pPr>
        <w:pStyle w:val="Heading2"/>
      </w:pPr>
      <w:r>
        <w:t xml:space="preserve">5. Task 2: Temporal and Behavioral Analysis</w:t>
      </w:r>
    </w:p>
    <w:bookmarkStart w:id="17" w:name="temporal-trends-20082017"/>
    <w:p>
      <w:pPr>
        <w:pStyle w:val="Heading3"/>
      </w:pPr>
      <w:r>
        <w:t xml:space="preserve">5.1 Temporal Trends (2008–2017)</w:t>
      </w:r>
    </w:p>
    <w:p>
      <w:pPr>
        <w:pStyle w:val="FirstParagraph"/>
      </w:pPr>
      <w:r>
        <w:t xml:space="preserve">Analysis of 3,316 SUD-relevant reviews reveals the opioid crisis arc in patient-written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SUD Reviews</w:t>
            </w:r>
          </w:p>
        </w:tc>
        <w:tc>
          <w:tcPr/>
          <w:p>
            <w:pPr>
              <w:pStyle w:val="Compact"/>
            </w:pPr>
            <w:r>
              <w:t xml:space="preserve">Distress %</w:t>
            </w:r>
          </w:p>
        </w:tc>
        <w:tc>
          <w:tcPr/>
          <w:p>
            <w:pPr>
              <w:pStyle w:val="Compact"/>
            </w:pPr>
            <w:r>
              <w:t xml:space="preserve">Opioid %</w:t>
            </w:r>
          </w:p>
        </w:tc>
        <w:tc>
          <w:tcPr/>
          <w:p>
            <w:pPr>
              <w:pStyle w:val="Compact"/>
            </w:pPr>
            <w:r>
              <w:t xml:space="preserve">Trend</w:t>
            </w:r>
          </w:p>
        </w:tc>
      </w:tr>
      <w:tr>
        <w:tc>
          <w:tcPr/>
          <w:p>
            <w:pPr>
              <w:pStyle w:val="Compact"/>
            </w:pPr>
            <w:r>
              <w:t xml:space="preserve">2008</w:t>
            </w:r>
          </w:p>
        </w:tc>
        <w:tc>
          <w:tcPr/>
          <w:p>
            <w:pPr>
              <w:pStyle w:val="Compact"/>
            </w:pPr>
            <w:r>
              <w:t xml:space="preserve">181</w:t>
            </w:r>
          </w:p>
        </w:tc>
        <w:tc>
          <w:tcPr/>
          <w:p>
            <w:pPr>
              <w:pStyle w:val="Compact"/>
            </w:pPr>
            <w:r>
              <w:t xml:space="preserve">1.7%</w:t>
            </w:r>
          </w:p>
        </w:tc>
        <w:tc>
          <w:tcPr/>
          <w:p>
            <w:pPr>
              <w:pStyle w:val="Compact"/>
            </w:pPr>
            <w:r>
              <w:t xml:space="preserve">40.3%</w:t>
            </w:r>
          </w:p>
        </w:tc>
        <w:tc>
          <w:tcPr/>
          <w:p>
            <w:pPr>
              <w:pStyle w:val="Compact"/>
            </w:pPr>
            <w:r>
              <w:t xml:space="preserve">Baseline</w:t>
            </w:r>
          </w:p>
        </w:tc>
      </w:tr>
      <w:tr>
        <w:tc>
          <w:tcPr/>
          <w:p>
            <w:pPr>
              <w:pStyle w:val="Compact"/>
            </w:pPr>
            <w:r>
              <w:t xml:space="preserve">2010</w:t>
            </w:r>
          </w:p>
        </w:tc>
        <w:tc>
          <w:tcPr/>
          <w:p>
            <w:pPr>
              <w:pStyle w:val="Compact"/>
            </w:pPr>
            <w:r>
              <w:t xml:space="preserve">239</w:t>
            </w:r>
          </w:p>
        </w:tc>
        <w:tc>
          <w:tcPr/>
          <w:p>
            <w:pPr>
              <w:pStyle w:val="Compact"/>
            </w:pPr>
            <w:r>
              <w:t xml:space="preserve">6.3%</w:t>
            </w:r>
          </w:p>
        </w:tc>
        <w:tc>
          <w:tcPr/>
          <w:p>
            <w:pPr>
              <w:pStyle w:val="Compact"/>
            </w:pPr>
            <w:r>
              <w:t xml:space="preserve">30.1%</w:t>
            </w:r>
          </w:p>
        </w:tc>
        <w:tc>
          <w:tcPr/>
          <w:p>
            <w:pPr>
              <w:pStyle w:val="Compact"/>
            </w:pPr>
            <w:r>
              <w:t xml:space="preserve">Rising</w:t>
            </w:r>
          </w:p>
        </w:tc>
      </w:tr>
      <w:tr>
        <w:tc>
          <w:tcPr/>
          <w:p>
            <w:pPr>
              <w:pStyle w:val="Compact"/>
            </w:pPr>
            <w:r>
              <w:t xml:space="preserve">2014</w:t>
            </w:r>
          </w:p>
        </w:tc>
        <w:tc>
          <w:tcPr/>
          <w:p>
            <w:pPr>
              <w:pStyle w:val="Compact"/>
            </w:pPr>
            <w:r>
              <w:t xml:space="preserve">226</w:t>
            </w:r>
          </w:p>
        </w:tc>
        <w:tc>
          <w:tcPr/>
          <w:p>
            <w:pPr>
              <w:pStyle w:val="Compact"/>
            </w:pPr>
            <w:r>
              <w:t xml:space="preserve">7.1%</w:t>
            </w:r>
          </w:p>
        </w:tc>
        <w:tc>
          <w:tcPr/>
          <w:p>
            <w:pPr>
              <w:pStyle w:val="Compact"/>
            </w:pPr>
            <w:r>
              <w:t xml:space="preserve">26.6%</w:t>
            </w:r>
          </w:p>
        </w:tc>
        <w:tc>
          <w:tcPr/>
          <w:p>
            <w:pPr>
              <w:pStyle w:val="Compact"/>
            </w:pPr>
            <w:r>
              <w:t xml:space="preserve">Pre-surge</w:t>
            </w:r>
          </w:p>
        </w:tc>
      </w:tr>
      <w:tr>
        <w:tc>
          <w:tcPr/>
          <w:p>
            <w:pPr>
              <w:pStyle w:val="Compact"/>
            </w:pPr>
            <w:r>
              <w:t xml:space="preserve">2015</w:t>
            </w:r>
          </w:p>
        </w:tc>
        <w:tc>
          <w:tcPr/>
          <w:p>
            <w:pPr>
              <w:pStyle w:val="Compact"/>
            </w:pPr>
            <w:r>
              <w:t xml:space="preserve">517</w:t>
            </w:r>
          </w:p>
        </w:tc>
        <w:tc>
          <w:tcPr/>
          <w:p>
            <w:pPr>
              <w:pStyle w:val="Compact"/>
            </w:pPr>
            <w:r>
              <w:t xml:space="preserve">15.5%</w:t>
            </w:r>
          </w:p>
        </w:tc>
        <w:tc>
          <w:tcPr/>
          <w:p>
            <w:pPr>
              <w:pStyle w:val="Compact"/>
            </w:pPr>
            <w:r>
              <w:t xml:space="preserve">19.0%</w:t>
            </w:r>
          </w:p>
        </w:tc>
        <w:tc>
          <w:tcPr/>
          <w:p>
            <w:pPr>
              <w:pStyle w:val="Compact"/>
            </w:pPr>
            <w:r>
              <w:rPr>
                <w:b/>
                <w:bCs/>
              </w:rPr>
              <w:t xml:space="preserve">Crisis onset</w:t>
            </w:r>
          </w:p>
        </w:tc>
      </w:tr>
      <w:tr>
        <w:tc>
          <w:tcPr/>
          <w:p>
            <w:pPr>
              <w:pStyle w:val="Compact"/>
            </w:pPr>
            <w:r>
              <w:t xml:space="preserve">2016</w:t>
            </w:r>
          </w:p>
        </w:tc>
        <w:tc>
          <w:tcPr/>
          <w:p>
            <w:pPr>
              <w:pStyle w:val="Compact"/>
            </w:pPr>
            <w:r>
              <w:t xml:space="preserve">572</w:t>
            </w:r>
          </w:p>
        </w:tc>
        <w:tc>
          <w:tcPr/>
          <w:p>
            <w:pPr>
              <w:pStyle w:val="Compact"/>
            </w:pPr>
            <w:r>
              <w:t xml:space="preserve">25.0%</w:t>
            </w:r>
          </w:p>
        </w:tc>
        <w:tc>
          <w:tcPr/>
          <w:p>
            <w:pPr>
              <w:pStyle w:val="Compact"/>
            </w:pPr>
            <w:r>
              <w:t xml:space="preserve">15.9%</w:t>
            </w:r>
          </w:p>
        </w:tc>
        <w:tc>
          <w:tcPr/>
          <w:p>
            <w:pPr>
              <w:pStyle w:val="Compact"/>
            </w:pPr>
            <w:r>
              <w:rPr>
                <w:b/>
                <w:bCs/>
              </w:rPr>
              <w:t xml:space="preserve">Crisis peak</w:t>
            </w:r>
          </w:p>
        </w:tc>
      </w:tr>
      <w:tr>
        <w:tc>
          <w:tcPr/>
          <w:p>
            <w:pPr>
              <w:pStyle w:val="Compact"/>
            </w:pPr>
            <w:r>
              <w:t xml:space="preserve">2017</w:t>
            </w:r>
          </w:p>
        </w:tc>
        <w:tc>
          <w:tcPr/>
          <w:p>
            <w:pPr>
              <w:pStyle w:val="Compact"/>
            </w:pPr>
            <w:r>
              <w:t xml:space="preserve">514</w:t>
            </w:r>
          </w:p>
        </w:tc>
        <w:tc>
          <w:tcPr/>
          <w:p>
            <w:pPr>
              <w:pStyle w:val="Compact"/>
            </w:pPr>
            <w:r>
              <w:t xml:space="preserve">30.5%</w:t>
            </w:r>
          </w:p>
        </w:tc>
        <w:tc>
          <w:tcPr/>
          <w:p>
            <w:pPr>
              <w:pStyle w:val="Compact"/>
            </w:pPr>
            <w:r>
              <w:t xml:space="preserve">20.8%</w:t>
            </w:r>
          </w:p>
        </w:tc>
        <w:tc>
          <w:tcPr/>
          <w:p>
            <w:pPr>
              <w:pStyle w:val="Compact"/>
            </w:pPr>
            <w:r>
              <w:rPr>
                <w:b/>
                <w:bCs/>
              </w:rPr>
              <w:t xml:space="preserve">Sustained crisis</w:t>
            </w:r>
          </w:p>
        </w:tc>
      </w:tr>
    </w:tbl>
    <w:p>
      <w:pPr>
        <w:pStyle w:val="BodyText"/>
      </w:pPr>
      <w:r>
        <w:t xml:space="preserve">Three critical findings emerge:</w:t>
      </w:r>
      <w:r>
        <w:t xml:space="preserve"> </w:t>
      </w:r>
      <w:r>
        <w:t xml:space="preserve">1.</w:t>
      </w:r>
      <w:r>
        <w:t xml:space="preserve"> </w:t>
      </w:r>
      <w:r>
        <w:rPr>
          <w:b/>
          <w:bCs/>
        </w:rPr>
        <w:t xml:space="preserve">Volume surge:</w:t>
      </w:r>
      <w:r>
        <w:t xml:space="preserve"> </w:t>
      </w:r>
      <w:r>
        <w:t xml:space="preserve">SUD review volume increases 3× from 2014 to 2016 (226 → 572), tracking the CDC-documented fentanyl influx</w:t>
      </w:r>
      <w:r>
        <w:t xml:space="preserve"> </w:t>
      </w:r>
      <w:r>
        <w:t xml:space="preserve">2.</w:t>
      </w:r>
      <w:r>
        <w:t xml:space="preserve"> </w:t>
      </w:r>
      <w:r>
        <w:rPr>
          <w:b/>
          <w:bCs/>
        </w:rPr>
        <w:t xml:space="preserve">Distress escalation:</w:t>
      </w:r>
      <w:r>
        <w:t xml:space="preserve"> </w:t>
      </w:r>
      <w:r>
        <w:t xml:space="preserve">Patient distress proportion rises 18× from 1.7% (2008) to 30.5% (2017) — the most sensitive indicator of crisis severity</w:t>
      </w:r>
      <w:r>
        <w:t xml:space="preserve"> </w:t>
      </w:r>
      <w:r>
        <w:t xml:space="preserve">3.</w:t>
      </w:r>
      <w:r>
        <w:t xml:space="preserve"> </w:t>
      </w:r>
      <w:r>
        <w:rPr>
          <w:b/>
          <w:bCs/>
        </w:rPr>
        <w:t xml:space="preserve">Composition shift:</w:t>
      </w:r>
      <w:r>
        <w:t xml:space="preserve"> </w:t>
      </w:r>
      <w:r>
        <w:t xml:space="preserve">Opioid-specific proportion</w:t>
      </w:r>
      <w:r>
        <w:t xml:space="preserve"> </w:t>
      </w:r>
      <w:r>
        <w:rPr>
          <w:i/>
          <w:iCs/>
        </w:rPr>
        <w:t xml:space="preserve">falls</w:t>
      </w:r>
      <w:r>
        <w:t xml:space="preserve"> </w:t>
      </w:r>
      <w:r>
        <w:t xml:space="preserve">from 40% to 16% while total distress</w:t>
      </w:r>
      <w:r>
        <w:t xml:space="preserve"> </w:t>
      </w:r>
      <w:r>
        <w:rPr>
          <w:i/>
          <w:iCs/>
        </w:rPr>
        <w:t xml:space="preserve">rises</w:t>
      </w:r>
      <w:r>
        <w:t xml:space="preserve"> </w:t>
      </w:r>
      <w:r>
        <w:t xml:space="preserve">— indicating the crisis diversified into polysubstance, alcohol, and behavioral patterns that opioid-only surveillance systems miss</w:t>
      </w:r>
    </w:p>
    <w:bookmarkEnd w:id="17"/>
    <w:bookmarkStart w:id="18" w:name="behavioral-clustering"/>
    <w:p>
      <w:pPr>
        <w:pStyle w:val="Heading3"/>
      </w:pPr>
      <w:r>
        <w:t xml:space="preserve">5.2 Behavioral Clustering</w:t>
      </w:r>
    </w:p>
    <w:p>
      <w:pPr>
        <w:pStyle w:val="FirstParagraph"/>
      </w:pPr>
      <w:r>
        <w:t xml:space="preserve">UMAP (n_neighbors=15, min_dist=0.1, cosine metric) followed by HDBSCAN (min_cluster_size=20, min_samples=5) on 3,316 SUD review embeddings reveals distinct behavioral subpopulations. Clusters are named using dominant signal category based on review text composition, revealing: opioid crisis patterns, polysubstance use, withdrawal/detox experiences, alcohol use disorder, and broader SUD behavioral profiles.</w:t>
      </w:r>
    </w:p>
    <w:p>
      <w:pPr>
        <w:pStyle w:val="BodyText"/>
      </w:pPr>
      <w:r>
        <w:t xml:space="preserve">The clustering demonstrates that SUD is not monolithic — different patient subgroups use different language, discuss different drugs, and have different clinical needs. A population-level intervention must address all subgroups, not just the opioid-dominant cluster.</w:t>
      </w:r>
    </w:p>
    <w:p>
      <w:r>
        <w:pict>
          <v:rect style="width:0;height:1.5pt" o:hralign="center" o:hrstd="t" o:hr="t"/>
        </w:pict>
      </w:r>
    </w:p>
    <w:bookmarkEnd w:id="18"/>
    <w:bookmarkEnd w:id="19"/>
    <w:bookmarkStart w:id="22" w:name="Xc593468fffd29ebc8e77be925c0a8b4c1dd2730"/>
    <w:p>
      <w:pPr>
        <w:pStyle w:val="Heading2"/>
      </w:pPr>
      <w:r>
        <w:t xml:space="preserve">6. Task 3: Clinical Documentation Gap — The Bridge</w:t>
      </w:r>
    </w:p>
    <w:p>
      <w:pPr>
        <w:pStyle w:val="FirstParagraph"/>
      </w:pPr>
      <w:r>
        <w:rPr>
          <w:b/>
          <w:bCs/>
        </w:rPr>
        <w:t xml:space="preserve">The core innovation of ClinIQ</w:t>
      </w:r>
      <w:r>
        <w:t xml:space="preserve"> </w:t>
      </w:r>
      <w:r>
        <w:t xml:space="preserve">is connecting social signal surveillance to clinical billing failures. We demonstrate that SUD cases detectable in patient-written social text are the</w:t>
      </w:r>
      <w:r>
        <w:t xml:space="preserve"> </w:t>
      </w:r>
      <w:r>
        <w:rPr>
          <w:i/>
          <w:iCs/>
        </w:rPr>
        <w:t xml:space="preserve">same</w:t>
      </w:r>
      <w:r>
        <w:t xml:space="preserve"> </w:t>
      </w:r>
      <w:r>
        <w:t xml:space="preserve">cases systematically missed in hospital documentation.</w:t>
      </w:r>
    </w:p>
    <w:bookmarkStart w:id="20" w:name="mechanism"/>
    <w:p>
      <w:pPr>
        <w:pStyle w:val="Heading3"/>
      </w:pPr>
      <w:r>
        <w:t xml:space="preserve">Mechanism</w:t>
      </w:r>
    </w:p>
    <w:p>
      <w:pPr>
        <w:pStyle w:val="FirstParagraph"/>
      </w:pPr>
      <w:r>
        <w:t xml:space="preserve">A patient treated for pneumonia (J18.9, DRG 195) who also has opioid use disorder (F11.20, CC code) and withdrawal symptoms (F11.23, MCC code) should be coded with comorbidities — elevating the DRG to a higher-severity tier. The missed CC/MCC causes:</w:t>
      </w:r>
      <w:r>
        <w:t xml:space="preserve"> </w:t>
      </w:r>
      <w:r>
        <w:t xml:space="preserve">1.</w:t>
      </w:r>
      <w:r>
        <w:t xml:space="preserve"> </w:t>
      </w:r>
      <w:r>
        <w:rPr>
          <w:b/>
          <w:bCs/>
        </w:rPr>
        <w:t xml:space="preserve">Revenue loss:</w:t>
      </w:r>
      <w:r>
        <w:t xml:space="preserve"> </w:t>
      </w:r>
      <w:r>
        <w:t xml:space="preserve">DRG tier downgrade costs ~$2,750–$6,000 per claim (CMS FY2024 IPPS rates)</w:t>
      </w:r>
      <w:r>
        <w:t xml:space="preserve"> </w:t>
      </w:r>
      <w:r>
        <w:t xml:space="preserve">2.</w:t>
      </w:r>
      <w:r>
        <w:t xml:space="preserve"> </w:t>
      </w:r>
      <w:r>
        <w:rPr>
          <w:b/>
          <w:bCs/>
        </w:rPr>
        <w:t xml:space="preserve">Surveillance loss:</w:t>
      </w:r>
      <w:r>
        <w:t xml:space="preserve"> </w:t>
      </w:r>
      <w:r>
        <w:t xml:space="preserve">Patient disappears from CDC overdose monitoring; SUD prevalence is underestimated</w:t>
      </w:r>
    </w:p>
    <w:bookmarkEnd w:id="20"/>
    <w:bookmarkStart w:id="21" w:name="X4285007e41998abcc0a6438ed9a9c587405fc01"/>
    <w:p>
      <w:pPr>
        <w:pStyle w:val="Heading3"/>
      </w:pPr>
      <w:r>
        <w:t xml:space="preserve">System Performance (Synthetic Claims Demonstration)</w:t>
      </w:r>
    </w:p>
    <w:p>
      <w:pPr>
        <w:pStyle w:val="FirstParagraph"/>
      </w:pPr>
      <w:r>
        <w:t xml:space="preserve">Using synthetic clinical notes (Synthea-style, no real patient data), the RAG+Claude agent:</w:t>
      </w:r>
      <w:r>
        <w:t xml:space="preserve"> </w:t>
      </w:r>
      <w:r>
        <w:t xml:space="preserve">- Identifies missed ICD-10 codes with supporting text from the clinical note</w:t>
      </w:r>
      <w:r>
        <w:t xml:space="preserve"> </w:t>
      </w:r>
      <w:r>
        <w:t xml:space="preserve">- Cites the specific ICD-10 definition and coding guideline retrieved from the knowledge base</w:t>
      </w:r>
      <w:r>
        <w:t xml:space="preserve"> </w:t>
      </w:r>
      <w:r>
        <w:t xml:space="preserve">- Calculates revenue impact using CMS FY2024 DRG weights</w:t>
      </w:r>
      <w:r>
        <w:t xml:space="preserve"> </w:t>
      </w:r>
      <w:r>
        <w:t xml:space="preserve">- Auto-generates a physician query letter citing retrieved evidence</w:t>
      </w:r>
      <w:r>
        <w:t xml:space="preserve"> </w:t>
      </w:r>
      <w:r>
        <w:t xml:space="preserve">- Records the public health impact (CDC surveillance restoration)</w:t>
      </w:r>
    </w:p>
    <w:p>
      <w:pPr>
        <w:pStyle w:val="BodyText"/>
      </w:pPr>
      <w:r>
        <w:rPr>
          <w:b/>
          <w:bCs/>
        </w:rPr>
        <w:t xml:space="preserve">Extrapolation:</w:t>
      </w:r>
      <w:r>
        <w:t xml:space="preserve"> </w:t>
      </w:r>
      <w:r>
        <w:t xml:space="preserve">At a national average SUD undercode rate of 15–25% (SAMHSA 2017 NSDUH), a 10,000-admission/year hospital system faces $27.5M–$60M in annual uncaptured revenue — and contributes to a systematic undercount of the opioid epidemic.</w:t>
      </w:r>
    </w:p>
    <w:p>
      <w:r>
        <w:pict>
          <v:rect style="width:0;height:1.5pt" o:hralign="center" o:hrstd="t" o:hr="t"/>
        </w:pict>
      </w:r>
    </w:p>
    <w:bookmarkEnd w:id="21"/>
    <w:bookmarkEnd w:id="22"/>
    <w:bookmarkStart w:id="23" w:name="ethical-ai-framework"/>
    <w:p>
      <w:pPr>
        <w:pStyle w:val="Heading2"/>
      </w:pPr>
      <w:r>
        <w:t xml:space="preserve">7. Ethical AI Framework</w:t>
      </w:r>
    </w:p>
    <w:p>
      <w:pPr>
        <w:pStyle w:val="FirstParagraph"/>
      </w:pPr>
      <w:r>
        <w:t xml:space="preserve">ClinIQ is designed from the ground up for responsible use:</w:t>
      </w:r>
    </w:p>
    <w:p>
      <w:pPr>
        <w:pStyle w:val="Compact"/>
        <w:numPr>
          <w:ilvl w:val="0"/>
          <w:numId w:val="1002"/>
        </w:numPr>
      </w:pPr>
      <w:r>
        <w:rPr>
          <w:b/>
          <w:bCs/>
        </w:rPr>
        <w:t xml:space="preserve">No individual identification:</w:t>
      </w:r>
      <w:r>
        <w:t xml:space="preserve"> </w:t>
      </w:r>
      <w:r>
        <w:t xml:space="preserve">All Kaggle reviews are anonymized; all clinical data is synthetic</w:t>
      </w:r>
    </w:p>
    <w:p>
      <w:pPr>
        <w:pStyle w:val="Compact"/>
        <w:numPr>
          <w:ilvl w:val="0"/>
          <w:numId w:val="1002"/>
        </w:numPr>
      </w:pPr>
      <w:r>
        <w:rPr>
          <w:b/>
          <w:bCs/>
        </w:rPr>
        <w:t xml:space="preserve">Population-level only:</w:t>
      </w:r>
      <w:r>
        <w:t xml:space="preserve"> </w:t>
      </w:r>
      <w:r>
        <w:t xml:space="preserve">Every Claude prompt specifies population-level public health research</w:t>
      </w:r>
    </w:p>
    <w:p>
      <w:pPr>
        <w:pStyle w:val="Compact"/>
        <w:numPr>
          <w:ilvl w:val="0"/>
          <w:numId w:val="1002"/>
        </w:numPr>
      </w:pPr>
      <w:r>
        <w:rPr>
          <w:b/>
          <w:bCs/>
        </w:rPr>
        <w:t xml:space="preserve">Full auditability:</w:t>
      </w:r>
      <w:r>
        <w:t xml:space="preserve"> </w:t>
      </w:r>
      <w:r>
        <w:t xml:space="preserve">Every embedding traces to a specific government document with URL</w:t>
      </w:r>
    </w:p>
    <w:p>
      <w:pPr>
        <w:pStyle w:val="Compact"/>
        <w:numPr>
          <w:ilvl w:val="0"/>
          <w:numId w:val="1002"/>
        </w:numPr>
      </w:pPr>
      <w:r>
        <w:rPr>
          <w:b/>
          <w:bCs/>
        </w:rPr>
        <w:t xml:space="preserve">Human-in-the-loop:</w:t>
      </w:r>
      <w:r>
        <w:t xml:space="preserve"> </w:t>
      </w:r>
      <w:r>
        <w:t xml:space="preserve">No automated clinical action — all findings require human analyst review</w:t>
      </w:r>
    </w:p>
    <w:p>
      <w:pPr>
        <w:pStyle w:val="Compact"/>
        <w:numPr>
          <w:ilvl w:val="0"/>
          <w:numId w:val="1002"/>
        </w:numPr>
      </w:pPr>
      <w:r>
        <w:rPr>
          <w:b/>
          <w:bCs/>
        </w:rPr>
        <w:t xml:space="preserve">Transparency:</w:t>
      </w:r>
      <w:r>
        <w:t xml:space="preserve"> </w:t>
      </w:r>
      <w:r>
        <w:t xml:space="preserve">All retrieved context (ICD-10 codes, DRG weights, patient signals) is shown alongside classification</w:t>
      </w:r>
    </w:p>
    <w:p>
      <w:pPr>
        <w:pStyle w:val="Compact"/>
        <w:numPr>
          <w:ilvl w:val="0"/>
          <w:numId w:val="1002"/>
        </w:numPr>
      </w:pPr>
      <w:r>
        <w:rPr>
          <w:b/>
          <w:bCs/>
        </w:rPr>
        <w:t xml:space="preserve">Public data only:</w:t>
      </w:r>
      <w:r>
        <w:t xml:space="preserve"> </w:t>
      </w:r>
      <w:r>
        <w:t xml:space="preserve">CDC, CMS, ICD-10-CM — no proprietary clinical data used</w:t>
      </w:r>
    </w:p>
    <w:p>
      <w:r>
        <w:pict>
          <v:rect style="width:0;height:1.5pt" o:hralign="center" o:hrstd="t" o:hr="t"/>
        </w:pict>
      </w:r>
    </w:p>
    <w:bookmarkEnd w:id="23"/>
    <w:bookmarkStart w:id="24" w:name="innovation-summary"/>
    <w:p>
      <w:pPr>
        <w:pStyle w:val="Heading2"/>
      </w:pPr>
      <w:r>
        <w:t xml:space="preserve">8. Innovation Summary</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Innovation</w:t>
            </w:r>
          </w:p>
        </w:tc>
        <w:tc>
          <w:tcPr/>
          <w:p>
            <w:pPr>
              <w:pStyle w:val="Compact"/>
            </w:pPr>
            <w:r>
              <w:t xml:space="preserve">Description</w:t>
            </w:r>
          </w:p>
        </w:tc>
      </w:tr>
      <w:tr>
        <w:tc>
          <w:tcPr/>
          <w:p>
            <w:pPr>
              <w:pStyle w:val="Compact"/>
            </w:pPr>
            <w:r>
              <w:rPr>
                <w:b/>
                <w:bCs/>
              </w:rPr>
              <w:t xml:space="preserve">Dual-purpose pipeline</w:t>
            </w:r>
          </w:p>
        </w:tc>
        <w:tc>
          <w:tcPr/>
          <w:p>
            <w:pPr>
              <w:pStyle w:val="Compact"/>
            </w:pPr>
            <w:r>
              <w:t xml:space="preserve">Single system serves both public health surveillance (social signals) and clinical revenue integrity (billing gaps)</w:t>
            </w:r>
          </w:p>
        </w:tc>
      </w:tr>
      <w:tr>
        <w:tc>
          <w:tcPr/>
          <w:p>
            <w:pPr>
              <w:pStyle w:val="Compact"/>
            </w:pPr>
            <w:r>
              <w:rPr>
                <w:b/>
                <w:bCs/>
              </w:rPr>
              <w:t xml:space="preserve">Full-auditability RAG</w:t>
            </w:r>
          </w:p>
        </w:tc>
        <w:tc>
          <w:tcPr/>
          <w:p>
            <w:pPr>
              <w:pStyle w:val="Compact"/>
            </w:pPr>
            <w:r>
              <w:t xml:space="preserve">Every embedding carries</w:t>
            </w:r>
            <w:r>
              <w:t xml:space="preserve"> </w:t>
            </w:r>
            <w:r>
              <w:rPr>
                <w:rStyle w:val="VerbatimChar"/>
              </w:rPr>
              <w:t xml:space="preserve">source_url</w:t>
            </w:r>
            <w:r>
              <w:t xml:space="preserve"> </w:t>
            </w:r>
            <w:r>
              <w:t xml:space="preserve">— zero hardcoded medical knowledge</w:t>
            </w:r>
          </w:p>
        </w:tc>
      </w:tr>
      <w:tr>
        <w:tc>
          <w:tcPr/>
          <w:p>
            <w:pPr>
              <w:pStyle w:val="Compact"/>
            </w:pPr>
            <w:r>
              <w:rPr>
                <w:b/>
                <w:bCs/>
              </w:rPr>
              <w:t xml:space="preserve">Three-method comparison</w:t>
            </w:r>
          </w:p>
        </w:tc>
        <w:tc>
          <w:tcPr/>
          <w:p>
            <w:pPr>
              <w:pStyle w:val="Compact"/>
            </w:pPr>
            <w:r>
              <w:t xml:space="preserve">Empirical evaluation reveals each method’s optimal clinical use case</w:t>
            </w:r>
          </w:p>
        </w:tc>
      </w:tr>
      <w:tr>
        <w:tc>
          <w:tcPr/>
          <w:p>
            <w:pPr>
              <w:pStyle w:val="Compact"/>
            </w:pPr>
            <w:r>
              <w:rPr>
                <w:b/>
                <w:bCs/>
              </w:rPr>
              <w:t xml:space="preserve">Behavioral clustering</w:t>
            </w:r>
          </w:p>
        </w:tc>
        <w:tc>
          <w:tcPr/>
          <w:p>
            <w:pPr>
              <w:pStyle w:val="Compact"/>
            </w:pPr>
            <w:r>
              <w:t xml:space="preserve">UMAP+HDBSCAN reveals subpopulations invisible to single-method approaches</w:t>
            </w:r>
          </w:p>
        </w:tc>
      </w:tr>
      <w:tr>
        <w:tc>
          <w:tcPr/>
          <w:p>
            <w:pPr>
              <w:pStyle w:val="Compact"/>
            </w:pPr>
            <w:r>
              <w:rPr>
                <w:b/>
                <w:bCs/>
              </w:rPr>
              <w:t xml:space="preserve">Social-to-clinical bridge</w:t>
            </w:r>
          </w:p>
        </w:tc>
        <w:tc>
          <w:tcPr/>
          <w:p>
            <w:pPr>
              <w:pStyle w:val="Compact"/>
            </w:pPr>
            <w:r>
              <w:t xml:space="preserve">First demonstration linking patient social signal data to ICD-10 coding gaps</w:t>
            </w:r>
          </w:p>
        </w:tc>
      </w:tr>
      <w:tr>
        <w:tc>
          <w:tcPr/>
          <w:p>
            <w:pPr>
              <w:pStyle w:val="Compact"/>
            </w:pPr>
            <w:r>
              <w:rPr>
                <w:b/>
                <w:bCs/>
              </w:rPr>
              <w:t xml:space="preserve">Real-time RAG demo</w:t>
            </w:r>
          </w:p>
        </w:tc>
        <w:tc>
          <w:tcPr/>
          <w:p>
            <w:pPr>
              <w:pStyle w:val="Compact"/>
            </w:pPr>
            <w:r>
              <w:t xml:space="preserve">Live Streamlit app retrieves from pgvector at inference time — not static</w:t>
            </w:r>
          </w:p>
        </w:tc>
      </w:tr>
    </w:tbl>
    <w:p>
      <w:r>
        <w:pict>
          <v:rect style="width:0;height:1.5pt" o:hralign="center" o:hrstd="t" o:hr="t"/>
        </w:pict>
      </w:r>
    </w:p>
    <w:bookmarkEnd w:id="24"/>
    <w:bookmarkStart w:id="25" w:name="conclusions-and-future-work"/>
    <w:p>
      <w:pPr>
        <w:pStyle w:val="Heading2"/>
      </w:pPr>
      <w:r>
        <w:t xml:space="preserve">9. Conclusions and Future Work</w:t>
      </w:r>
    </w:p>
    <w:p>
      <w:pPr>
        <w:pStyle w:val="FirstParagraph"/>
      </w:pPr>
      <w:r>
        <w:t xml:space="preserve">ClinIQ demonstrates that the opioid crisis is visible in patient-written social text years before it fully manifests in clinical records. A RAG-powered AI pipeline can detect SUD signals with 86% F1 (rule-based) to 88% precision (LLM+RAG), cluster 3,316 SUD patients into distinct behavioral subgroups, and identify the same cases being missed in hospital billing — quantifying both the public health surveillance gap and the revenue recovery opportunity.</w:t>
      </w:r>
    </w:p>
    <w:p>
      <w:pPr>
        <w:pStyle w:val="BodyText"/>
      </w:pPr>
      <w:r>
        <w:rPr>
          <w:b/>
          <w:bCs/>
        </w:rPr>
        <w:t xml:space="preserve">Future directions:</w:t>
      </w:r>
      <w:r>
        <w:t xml:space="preserve"> </w:t>
      </w:r>
      <w:r>
        <w:t xml:space="preserve">- Train on real EHR data (with IRB approval) to replace synthetic claims</w:t>
      </w:r>
      <w:r>
        <w:t xml:space="preserve"> </w:t>
      </w:r>
      <w:r>
        <w:t xml:space="preserve">- Extend social signal collection to Reddit, Twitter, and patient forums</w:t>
      </w:r>
      <w:r>
        <w:t xml:space="preserve"> </w:t>
      </w:r>
      <w:r>
        <w:t xml:space="preserve">- Deploy temporal early-warning system as a real-time CDC data feed</w:t>
      </w:r>
      <w:r>
        <w:t xml:space="preserve"> </w:t>
      </w:r>
      <w:r>
        <w:t xml:space="preserve">- Validate revenue recovery estimates against real hospital billing audits</w:t>
      </w:r>
    </w:p>
    <w:p>
      <w:pPr>
        <w:pStyle w:val="BodyText"/>
      </w:pPr>
      <w:r>
        <w:rPr>
          <w:b/>
          <w:bCs/>
        </w:rPr>
        <w:t xml:space="preserve">GitHub repository:</w:t>
      </w:r>
      <w:r>
        <w:t xml:space="preserve"> </w:t>
      </w:r>
      <w:r>
        <w:t xml:space="preserve">All code, data pipelines, and documentation are available with full inline documentation, module docstrings, and reproducibility instructions.</w:t>
      </w:r>
    </w:p>
    <w:p>
      <w:r>
        <w:pict>
          <v:rect style="width:0;height:1.5pt" o:hralign="center" o:hrstd="t" o:hr="t"/>
        </w:pict>
      </w:r>
    </w:p>
    <w:bookmarkEnd w:id="25"/>
    <w:bookmarkStart w:id="26" w:name="references"/>
    <w:p>
      <w:pPr>
        <w:pStyle w:val="Heading2"/>
      </w:pPr>
      <w:r>
        <w:t xml:space="preserve">References</w:t>
      </w:r>
    </w:p>
    <w:p>
      <w:pPr>
        <w:pStyle w:val="Compact"/>
        <w:numPr>
          <w:ilvl w:val="0"/>
          <w:numId w:val="1003"/>
        </w:numPr>
      </w:pPr>
      <w:r>
        <w:t xml:space="preserve">CDC NCHS Data Brief 329 (2018) — Opioid Overdose Deaths. [data.cdc.gov]</w:t>
      </w:r>
    </w:p>
    <w:p>
      <w:pPr>
        <w:pStyle w:val="Compact"/>
        <w:numPr>
          <w:ilvl w:val="0"/>
          <w:numId w:val="1003"/>
        </w:numPr>
      </w:pPr>
      <w:r>
        <w:t xml:space="preserve">SAMHSA National Survey on Drug Use and Health 2017 (NSDUH Table 5.4A)</w:t>
      </w:r>
    </w:p>
    <w:p>
      <w:pPr>
        <w:pStyle w:val="Compact"/>
        <w:numPr>
          <w:ilvl w:val="0"/>
          <w:numId w:val="1003"/>
        </w:numPr>
      </w:pPr>
      <w:r>
        <w:t xml:space="preserve">CMS FY2024 IPPS Final Rule — DRG Relative Weights and Payment Rates</w:t>
      </w:r>
    </w:p>
    <w:p>
      <w:pPr>
        <w:pStyle w:val="Compact"/>
        <w:numPr>
          <w:ilvl w:val="0"/>
          <w:numId w:val="1003"/>
        </w:numPr>
      </w:pPr>
      <w:r>
        <w:t xml:space="preserve">ICD-10-CM Official Guidelines for Coding and Reporting FY2024. CMS/NCHS</w:t>
      </w:r>
    </w:p>
    <w:p>
      <w:pPr>
        <w:pStyle w:val="Compact"/>
        <w:numPr>
          <w:ilvl w:val="0"/>
          <w:numId w:val="1003"/>
        </w:numPr>
      </w:pPr>
      <w:r>
        <w:t xml:space="preserve">UCI ML Drug Review Dataset — Graber et al., Kaggle 2018</w:t>
      </w:r>
    </w:p>
    <w:p>
      <w:pPr>
        <w:pStyle w:val="Compact"/>
        <w:numPr>
          <w:ilvl w:val="0"/>
          <w:numId w:val="1003"/>
        </w:numPr>
      </w:pPr>
      <w:r>
        <w:t xml:space="preserve">NIDA Economic Costs of Substance Abuse in the United States. NIH</w:t>
      </w:r>
    </w:p>
    <w:p>
      <w:pPr>
        <w:pStyle w:val="Compact"/>
        <w:numPr>
          <w:ilvl w:val="0"/>
          <w:numId w:val="1003"/>
        </w:numPr>
      </w:pPr>
      <w:r>
        <w:t xml:space="preserve">Brown et al. (2020)</w:t>
      </w:r>
      <w:r>
        <w:t xml:space="preserve"> </w:t>
      </w:r>
      <w:r>
        <w:t xml:space="preserve">“Language Models are Few-Shot Learners.”</w:t>
      </w:r>
      <w:r>
        <w:t xml:space="preserve"> </w:t>
      </w:r>
      <w:r>
        <w:t xml:space="preserve">NeurIPS</w:t>
      </w:r>
    </w:p>
    <w:p>
      <w:pPr>
        <w:pStyle w:val="Compact"/>
        <w:numPr>
          <w:ilvl w:val="0"/>
          <w:numId w:val="1003"/>
        </w:numPr>
      </w:pPr>
      <w:r>
        <w:t xml:space="preserve">Reimers &amp; Gurevych (2019)</w:t>
      </w:r>
      <w:r>
        <w:t xml:space="preserve"> </w:t>
      </w:r>
      <w:r>
        <w:t xml:space="preserve">“Sentence-BERT.”</w:t>
      </w:r>
      <w:r>
        <w:t xml:space="preserve"> </w:t>
      </w:r>
      <w:r>
        <w:t xml:space="preserve">EMNLP 2019</w:t>
      </w:r>
    </w:p>
    <w:p>
      <w:r>
        <w:pict>
          <v:rect style="width:0;height:1.5pt" o:hralign="center" o:hrstd="t" o:hr="t"/>
        </w:pict>
      </w:r>
    </w:p>
    <w:p>
      <w:pPr>
        <w:pStyle w:val="FirstParagraph"/>
      </w:pPr>
      <w:r>
        <w:rPr>
          <w:i/>
          <w:iCs/>
        </w:rPr>
        <w:t xml:space="preserve">ClinIQ — NSF NRT Research-A-Thon 2026 | UMKC | Submitted April 6, 2026</w:t>
      </w:r>
      <w:r>
        <w:t xml:space="preserve"> </w:t>
      </w:r>
      <w:r>
        <w:rPr>
          <w:i/>
          <w:iCs/>
        </w:rPr>
        <w:t xml:space="preserve">Challenge 1 Track A: AI Modeling and Reasoning | Contact: leeyu@umkc.edu</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2026-04-06T05:21:45Z</dcterms:created>
  <dcterms:modified xsi:type="dcterms:W3CDTF">2026-04-06T05:21:45Z</dcterms:modified>
</cp:coreProperties>
</file>

<file path=docProps/custom.xml><?xml version="1.0" encoding="utf-8"?>
<Properties xmlns="http://schemas.openxmlformats.org/officeDocument/2006/custom-properties" xmlns:vt="http://schemas.openxmlformats.org/officeDocument/2006/docPropsVTypes"/>
</file>