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200"/>
        <w:jc w:val="center"/>
      </w:pPr>
      <w:r>
        <w:rPr>
          <w:rFonts w:ascii="Georgia" w:cs="Georgia" w:eastAsia="Georgia" w:hAnsi="Georgia"/>
          <w:b/>
          <w:bCs/>
          <w:color w:val="112E51"/>
          <w:sz w:val="52"/>
          <w:szCs w:val="52"/>
        </w:rPr>
        <w:t xml:space="preserve">FRUS Subject Taxonomy</w:t>
      </w:r>
    </w:p>
    <w:p>
      <w:pPr>
        <w:spacing w:after="100"/>
        <w:jc w:val="center"/>
      </w:pPr>
      <w:r>
        <w:rPr>
          <w:rFonts w:ascii="Georgia" w:cs="Georgia" w:eastAsia="Georgia" w:hAnsi="Georgia"/>
          <w:color w:val="112E51"/>
          <w:sz w:val="36"/>
          <w:szCs w:val="36"/>
        </w:rPr>
        <w:t xml:space="preserve">Process Documentation</w:t>
      </w:r>
    </w:p>
    <w:p>
      <w:pPr>
        <w:pBdr>
          <w:bottom w:val="single" w:color="205493" w:sz="6" w:space="1"/>
        </w:pBdr>
        <w:spacing w:after="600"/>
        <w:jc w:val="center"/>
      </w:pPr>
      <w:r>
        <w:rPr>
          <w:rFonts w:ascii="Arial" w:cs="Arial" w:eastAsia="Arial" w:hAnsi="Arial"/>
          <w:color w:val="71767A"/>
          <w:sz w:val="24"/>
          <w:szCs w:val="24"/>
        </w:rPr>
        <w:t xml:space="preserve">Building a Controlled Subject Vocabulary for the</w:t>
      </w:r>
    </w:p>
    <w:p>
      <w:pPr>
        <w:spacing w:after="200"/>
        <w:jc w:val="center"/>
      </w:pPr>
      <w:r>
        <w:rPr>
          <w:rFonts w:ascii="Arial" w:cs="Arial" w:eastAsia="Arial" w:hAnsi="Arial"/>
          <w:color w:val="71767A"/>
          <w:sz w:val="24"/>
          <w:szCs w:val="24"/>
        </w:rPr>
        <w:t xml:space="preserve">Foreign Relations of the United States Series</w:t>
      </w:r>
    </w:p>
    <w:p>
      <w:pPr>
        <w:spacing w:after="60"/>
      </w:pPr>
    </w:p>
    <w:p>
      <w:pPr>
        <w:spacing w:after="60"/>
      </w:pPr>
    </w:p>
    <w:p>
      <w:pPr>
        <w:spacing w:after="60"/>
      </w:pPr>
    </w:p>
    <w:p>
      <w:pPr>
        <w:spacing w:after="60"/>
      </w:pPr>
    </w:p>
    <w:p>
      <w:pPr>
        <w:spacing w:after="100"/>
        <w:jc w:val="center"/>
      </w:pPr>
      <w:r>
        <w:rPr>
          <w:rFonts w:ascii="Arial" w:cs="Arial" w:eastAsia="Arial" w:hAnsi="Arial"/>
          <w:color w:val="71767A"/>
          <w:sz w:val="24"/>
          <w:szCs w:val="24"/>
        </w:rPr>
        <w:t xml:space="preserve">Office of the Historian</w:t>
      </w:r>
    </w:p>
    <w:p>
      <w:pPr>
        <w:spacing w:after="100"/>
        <w:jc w:val="center"/>
      </w:pPr>
      <w:r>
        <w:rPr>
          <w:rFonts w:ascii="Arial" w:cs="Arial" w:eastAsia="Arial" w:hAnsi="Arial"/>
          <w:color w:val="71767A"/>
          <w:sz w:val="24"/>
          <w:szCs w:val="24"/>
        </w:rPr>
        <w:t xml:space="preserve">U.S. Department of State</w:t>
      </w:r>
    </w:p>
    <w:p>
      <w:pPr>
        <w:jc w:val="center"/>
      </w:pPr>
      <w:r>
        <w:rPr>
          <w:rFonts w:ascii="Arial" w:cs="Arial" w:eastAsia="Arial" w:hAnsi="Arial"/>
          <w:color w:val="71767A"/>
          <w:sz w:val="24"/>
          <w:szCs w:val="24"/>
        </w:rPr>
        <w:t xml:space="preserve">March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spacing w:after="120"/>
      </w:pPr>
      <w:r>
        <w:rPr>
          <w:rFonts w:ascii="Arial" w:cs="Arial" w:eastAsia="Arial" w:hAnsi="Arial"/>
          <w:sz w:val="22"/>
          <w:szCs w:val="22"/>
        </w:rPr>
        <w:t xml:space="preserve">This document describes the methodology and tooling used to build a hierarchical subject taxonomy for the Foreign Relations of the United States (FRUS) series. The taxonomy organizes 1,288 subject terms drawn from manual annotations of FRUS volumes into 12 thematic categories aligned with the Office of the Historian's topic headings.</w:t>
      </w:r>
    </w:p>
    <w:p>
      <w:pPr>
        <w:spacing w:after="120"/>
      </w:pPr>
      <w:r>
        <w:rPr>
          <w:rFonts w:ascii="Arial" w:cs="Arial" w:eastAsia="Arial" w:hAnsi="Arial"/>
          <w:sz w:val="22"/>
          <w:szCs w:val="22"/>
        </w:rPr>
        <w:t xml:space="preserve">The project addresses a core discoverability challenge: FRUS volumes contain thousands of subject annotations created during the editorial process, but these annotations exist as flat, unstructured lists. The taxonomy provides a structured, browsable hierarchy that enables researchers to find documents by topic across multiple volumes.</w:t>
      </w:r>
    </w:p>
    <w:p>
      <w:pPr>
        <w:pStyle w:val="Heading2"/>
      </w:pPr>
      <w:r>
        <w:t xml:space="preserve">1.1 Scope</w:t>
      </w:r>
    </w:p>
    <w:p>
      <w:pPr>
        <w:spacing w:after="120"/>
      </w:pPr>
      <w:r>
        <w:rPr>
          <w:rFonts w:ascii="Arial" w:cs="Arial" w:eastAsia="Arial" w:hAnsi="Arial"/>
          <w:sz w:val="22"/>
          <w:szCs w:val="22"/>
        </w:rPr>
        <w:t xml:space="preserve">The current taxonomy covers:</w:t>
      </w:r>
    </w:p>
    <w:p>
      <w:pPr>
        <w:pStyle w:val="ListParagraph"/>
        <w:numPr>
          <w:ilvl w:val="0"/>
          <w:numId w:val="2"/>
        </w:numPr>
      </w:pPr>
      <w:r>
        <w:rPr>
          <w:rFonts w:ascii="Arial" w:cs="Arial" w:eastAsia="Arial" w:hAnsi="Arial"/>
          <w:sz w:val="22"/>
          <w:szCs w:val="22"/>
        </w:rPr>
        <w:t xml:space="preserve">1,412 raw subject terms from 14 annotated FRUS volumes</w:t>
      </w:r>
    </w:p>
    <w:p>
      <w:pPr>
        <w:pStyle w:val="ListParagraph"/>
        <w:numPr>
          <w:ilvl w:val="0"/>
          <w:numId w:val="2"/>
        </w:numPr>
      </w:pPr>
      <w:r>
        <w:rPr>
          <w:rFonts w:ascii="Arial" w:cs="Arial" w:eastAsia="Arial" w:hAnsi="Arial"/>
          <w:sz w:val="22"/>
          <w:szCs w:val="22"/>
        </w:rPr>
        <w:t xml:space="preserve">1,288 subjects after deduplication (124 entries merged)</w:t>
      </w:r>
    </w:p>
    <w:p>
      <w:pPr>
        <w:pStyle w:val="ListParagraph"/>
        <w:numPr>
          <w:ilvl w:val="0"/>
          <w:numId w:val="2"/>
        </w:numPr>
      </w:pPr>
      <w:r>
        <w:rPr>
          <w:rFonts w:ascii="Arial" w:cs="Arial" w:eastAsia="Arial" w:hAnsi="Arial"/>
          <w:sz w:val="22"/>
          <w:szCs w:val="22"/>
        </w:rPr>
        <w:t xml:space="preserve">65,571 total document-level annotations</w:t>
      </w:r>
    </w:p>
    <w:p>
      <w:pPr>
        <w:pStyle w:val="ListParagraph"/>
        <w:numPr>
          <w:ilvl w:val="0"/>
          <w:numId w:val="2"/>
        </w:numPr>
      </w:pPr>
      <w:r>
        <w:rPr>
          <w:rFonts w:ascii="Arial" w:cs="Arial" w:eastAsia="Arial" w:hAnsi="Arial"/>
          <w:sz w:val="22"/>
          <w:szCs w:val="22"/>
        </w:rPr>
        <w:t xml:space="preserve">Individual documents across 18 volumes</w:t>
      </w:r>
    </w:p>
    <w:p>
      <w:pPr>
        <w:pStyle w:val="ListParagraph"/>
        <w:numPr>
          <w:ilvl w:val="0"/>
          <w:numId w:val="2"/>
        </w:numPr>
      </w:pPr>
      <w:r>
        <w:rPr>
          <w:rFonts w:ascii="Arial" w:cs="Arial" w:eastAsia="Arial" w:hAnsi="Arial"/>
          <w:sz w:val="22"/>
          <w:szCs w:val="22"/>
        </w:rPr>
        <w:t xml:space="preserve">864 subjects categorized into 12 thematic categories</w:t>
      </w:r>
    </w:p>
    <w:p>
      <w:pPr>
        <w:pStyle w:val="ListParagraph"/>
        <w:numPr>
          <w:ilvl w:val="0"/>
          <w:numId w:val="2"/>
        </w:numPr>
      </w:pPr>
      <w:r>
        <w:rPr>
          <w:rFonts w:ascii="Arial" w:cs="Arial" w:eastAsia="Arial" w:hAnsi="Arial"/>
          <w:sz w:val="22"/>
          <w:szCs w:val="22"/>
        </w:rPr>
        <w:t xml:space="preserve">424 subjects remaining uncategorized</w:t>
      </w:r>
    </w:p>
    <w:p>
      <w:pPr>
        <w:pStyle w:val="Heading2"/>
      </w:pPr>
      <w:r>
        <w:t xml:space="preserve">1.2 Relationship to history.state.gov</w:t>
      </w:r>
    </w:p>
    <w:p>
      <w:pPr>
        <w:spacing w:after="120"/>
      </w:pPr>
      <w:r>
        <w:rPr>
          <w:rFonts w:ascii="Arial" w:cs="Arial" w:eastAsia="Arial" w:hAnsi="Arial"/>
          <w:sz w:val="22"/>
          <w:szCs w:val="22"/>
        </w:rPr>
        <w:t xml:space="preserve">The taxonomy is designed to support the subject browsing interface at history.state.gov. The 12 top-level categories correspond to the official Office of the Historian topic headings used across the site. An interactive mockup demonstrates how the taxonomy could be integrated into the existing site design.</w:t>
      </w:r>
    </w:p>
    <w:p>
      <w:r>
        <w:br w:type="page"/>
      </w:r>
    </w:p>
    <w:p>
      <w:pPr>
        <w:pStyle w:val="Heading1"/>
      </w:pPr>
      <w:r>
        <w:t xml:space="preserve">2. Source Data</w:t>
      </w:r>
    </w:p>
    <w:p>
      <w:pPr>
        <w:pStyle w:val="Heading2"/>
      </w:pPr>
      <w:r>
        <w:t xml:space="preserve">2.1 Annotated FRUS Volumes</w:t>
      </w:r>
    </w:p>
    <w:p>
      <w:pPr>
        <w:spacing w:after="120"/>
      </w:pPr>
      <w:r>
        <w:rPr>
          <w:rFonts w:ascii="Arial" w:cs="Arial" w:eastAsia="Arial" w:hAnsi="Arial"/>
          <w:sz w:val="22"/>
          <w:szCs w:val="22"/>
        </w:rPr>
        <w:t xml:space="preserve">Subject annotations originate from TEI XML-encoded FRUS volumes. Annotators tagged passages with subject terms using &lt;rs&gt; (referencing string) elements containing Airtable record IDs as unique identifiers. Each annotation links a passage within a specific document to a controlled subject term.</w:t>
      </w:r>
    </w:p>
    <w:p>
      <w:pPr>
        <w:pStyle w:val="Heading3"/>
      </w:pPr>
      <w:r>
        <w:t xml:space="preserve">Volumes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12E51" w:val="clear"/>
            <w:tcMar>
              <w:top w:type="dxa" w:w="60"/>
              <w:left w:type="dxa" w:w="100"/>
              <w:bottom w:type="dxa" w:w="60"/>
              <w:right w:type="dxa" w:w="100"/>
            </w:tcMar>
          </w:tcPr>
          <w:p>
            <w:r>
              <w:rPr>
                <w:rFonts w:ascii="Arial" w:cs="Arial" w:eastAsia="Arial" w:hAnsi="Arial"/>
                <w:b/>
                <w:bCs/>
                <w:color w:val="FFFFFF"/>
                <w:sz w:val="20"/>
                <w:szCs w:val="20"/>
              </w:rPr>
              <w:t xml:space="preserve">Volume ID</w:t>
            </w:r>
          </w:p>
        </w:tc>
        <w:tc>
          <w:tcPr>
            <w:tcW w:type="dxa" w:w="6560"/>
            <w:tcBorders>
              <w:top w:val="single" w:color="CCCCCC" w:sz="1"/>
              <w:left w:val="single" w:color="CCCCCC" w:sz="1"/>
              <w:bottom w:val="single" w:color="CCCCCC" w:sz="1"/>
              <w:right w:val="single" w:color="CCCCCC" w:sz="1"/>
            </w:tcBorders>
            <w:shd w:fill="112E51" w:val="clear"/>
            <w:tcMar>
              <w:top w:type="dxa" w:w="60"/>
              <w:left w:type="dxa" w:w="100"/>
              <w:bottom w:type="dxa" w:w="60"/>
              <w:right w:type="dxa" w:w="100"/>
            </w:tcMar>
          </w:tcPr>
          <w:p>
            <w:r>
              <w:rPr>
                <w:rFonts w:ascii="Arial" w:cs="Arial" w:eastAsia="Arial" w:hAnsi="Arial"/>
                <w:b/>
                <w:bCs/>
                <w:color w:val="FFFFFF"/>
                <w:sz w:val="20"/>
                <w:szCs w:val="20"/>
              </w:rPr>
              <w:t xml:space="preserve">Coverage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frus1969-76v19p2</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Japan, 1969-1976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frus1977-80v11p1</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Iran: Hostage Crisis, November 1979-September 1980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frus1977-80v15</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Central America, 1977-1980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frus1977-80v17p3</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North Africa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frus1977-80v19</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South Asia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frus1977-80v22</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Southeast Asia and the Pacific</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frus1977-80v23</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Mexico, Cuba, and the Caribbean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frus1977-80v24</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South America; Latin America Region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frus1977-80v27</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Federal Republic of Germany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frus1981-88v01</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Soviet Union, January 1981-January 1983</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frus1981-88v03</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Soviet Union, January 1981-January 1983 (Supplement)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frus1981-88v04</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Soviet Union, January 1983-March 1985</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frus1981-88v05</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Soviet Union, March 1985-October 1986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frus1981-88v06</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Soviet Union, October 1986-January 1989</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frus1981-88v10</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Western Europe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frus1981-88v11</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START 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frus1981-88v13</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Conflict in the South Atlantic, 1981-1984</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frus1981-88v24</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Central America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frus1981-88v38</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South Africa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frus1981-88v41</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Global Issues II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frus1981-88v44p1</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Global Issues: Narcotics</w:t>
            </w:r>
          </w:p>
        </w:tc>
      </w:tr>
    </w:tbl>
    <w:p>
      <w:pPr>
        <w:spacing w:after="60"/>
      </w:pPr>
    </w:p>
    <w:p>
      <w:pPr>
        <w:pStyle w:val="Heading2"/>
      </w:pPr>
      <w:r>
        <w:t xml:space="preserve">2.2 Subject Records</w:t>
      </w:r>
    </w:p>
    <w:p>
      <w:pPr>
        <w:spacing w:after="120"/>
      </w:pPr>
      <w:r>
        <w:rPr>
          <w:rFonts w:ascii="Arial" w:cs="Arial" w:eastAsia="Arial" w:hAnsi="Arial"/>
          <w:sz w:val="22"/>
          <w:szCs w:val="22"/>
        </w:rPr>
        <w:t xml:space="preserve">Each subject is identified by an Airtable record ID (e.g., recVSPQM8CicmOme2). The source mapping file (lcsh_mapping.json) contains 1,412 subject entries with the following metadata for each:</w:t>
      </w:r>
    </w:p>
    <w:p>
      <w:pPr>
        <w:pStyle w:val="ListParagraph"/>
        <w:numPr>
          <w:ilvl w:val="0"/>
          <w:numId w:val="2"/>
        </w:numPr>
      </w:pPr>
      <w:r>
        <w:rPr>
          <w:rFonts w:ascii="Arial" w:cs="Arial" w:eastAsia="Arial" w:hAnsi="Arial"/>
          <w:b/>
          <w:bCs/>
          <w:sz w:val="22"/>
          <w:szCs w:val="22"/>
        </w:rPr>
        <w:t xml:space="preserve">name: </w:t>
      </w:r>
      <w:r>
        <w:rPr>
          <w:rFonts w:ascii="Arial" w:cs="Arial" w:eastAsia="Arial" w:hAnsi="Arial"/>
          <w:sz w:val="22"/>
          <w:szCs w:val="22"/>
        </w:rPr>
        <w:t xml:space="preserve">The display name of the subject (e.g., "Human rights")</w:t>
      </w:r>
    </w:p>
    <w:p>
      <w:pPr>
        <w:pStyle w:val="ListParagraph"/>
        <w:numPr>
          <w:ilvl w:val="0"/>
          <w:numId w:val="2"/>
        </w:numPr>
      </w:pPr>
      <w:r>
        <w:rPr>
          <w:rFonts w:ascii="Arial" w:cs="Arial" w:eastAsia="Arial" w:hAnsi="Arial"/>
          <w:b/>
          <w:bCs/>
          <w:sz w:val="22"/>
          <w:szCs w:val="22"/>
        </w:rPr>
        <w:t xml:space="preserve">type: </w:t>
      </w:r>
      <w:r>
        <w:rPr>
          <w:rFonts w:ascii="Arial" w:cs="Arial" w:eastAsia="Arial" w:hAnsi="Arial"/>
          <w:sz w:val="22"/>
          <w:szCs w:val="22"/>
        </w:rPr>
        <w:t xml:space="preserve">The annotation type ("topic" or "compound-subject")</w:t>
      </w:r>
    </w:p>
    <w:p>
      <w:pPr>
        <w:pStyle w:val="ListParagraph"/>
        <w:numPr>
          <w:ilvl w:val="0"/>
          <w:numId w:val="2"/>
        </w:numPr>
      </w:pPr>
      <w:r>
        <w:rPr>
          <w:rFonts w:ascii="Arial" w:cs="Arial" w:eastAsia="Arial" w:hAnsi="Arial"/>
          <w:b/>
          <w:bCs/>
          <w:sz w:val="22"/>
          <w:szCs w:val="22"/>
        </w:rPr>
        <w:t xml:space="preserve">count: </w:t>
      </w:r>
      <w:r>
        <w:rPr>
          <w:rFonts w:ascii="Arial" w:cs="Arial" w:eastAsia="Arial" w:hAnsi="Arial"/>
          <w:sz w:val="22"/>
          <w:szCs w:val="22"/>
        </w:rPr>
        <w:t xml:space="preserve">Total number of document-level annotations</w:t>
      </w:r>
    </w:p>
    <w:p>
      <w:pPr>
        <w:pStyle w:val="ListParagraph"/>
        <w:numPr>
          <w:ilvl w:val="0"/>
          <w:numId w:val="2"/>
        </w:numPr>
      </w:pPr>
      <w:r>
        <w:rPr>
          <w:rFonts w:ascii="Arial" w:cs="Arial" w:eastAsia="Arial" w:hAnsi="Arial"/>
          <w:b/>
          <w:bCs/>
          <w:sz w:val="22"/>
          <w:szCs w:val="22"/>
        </w:rPr>
        <w:t xml:space="preserve">volumes: </w:t>
      </w:r>
      <w:r>
        <w:rPr>
          <w:rFonts w:ascii="Arial" w:cs="Arial" w:eastAsia="Arial" w:hAnsi="Arial"/>
          <w:sz w:val="22"/>
          <w:szCs w:val="22"/>
        </w:rPr>
        <w:t xml:space="preserve">Number of FRUS volumes in which the subject appears</w:t>
      </w:r>
    </w:p>
    <w:p>
      <w:pPr>
        <w:pStyle w:val="ListParagraph"/>
        <w:numPr>
          <w:ilvl w:val="0"/>
          <w:numId w:val="2"/>
        </w:numPr>
      </w:pPr>
      <w:r>
        <w:rPr>
          <w:rFonts w:ascii="Arial" w:cs="Arial" w:eastAsia="Arial" w:hAnsi="Arial"/>
          <w:b/>
          <w:bCs/>
          <w:sz w:val="22"/>
          <w:szCs w:val="22"/>
        </w:rPr>
        <w:t xml:space="preserve">appears_in: </w:t>
      </w:r>
      <w:r>
        <w:rPr>
          <w:rFonts w:ascii="Arial" w:cs="Arial" w:eastAsia="Arial" w:hAnsi="Arial"/>
          <w:sz w:val="22"/>
          <w:szCs w:val="22"/>
        </w:rPr>
        <w:t xml:space="preserve">Comma-separated list of volume IDs</w:t>
      </w:r>
    </w:p>
    <w:p>
      <w:pPr>
        <w:pStyle w:val="Heading2"/>
      </w:pPr>
      <w:r>
        <w:t xml:space="preserve">2.3 Document Metadata</w:t>
      </w:r>
    </w:p>
    <w:p>
      <w:pPr>
        <w:spacing w:after="120"/>
      </w:pPr>
      <w:r>
        <w:rPr>
          <w:rFonts w:ascii="Arial" w:cs="Arial" w:eastAsia="Arial" w:hAnsi="Arial"/>
          <w:sz w:val="22"/>
          <w:szCs w:val="22"/>
        </w:rPr>
        <w:t xml:space="preserve">Document-level metadata (titles, dates, sender/recipient information) was extracted from the TEI XML source files. This metadata enables the mockup to display full document details when browsing by subject, and links directly to the published documents on history.state.gov.</w:t>
      </w:r>
    </w:p>
    <w:p>
      <w:r>
        <w:br w:type="page"/>
      </w:r>
    </w:p>
    <w:p>
      <w:pPr>
        <w:pStyle w:val="Heading1"/>
      </w:pPr>
      <w:r>
        <w:t xml:space="preserve">3. LCSH Matching</w:t>
      </w:r>
    </w:p>
    <w:p>
      <w:pPr>
        <w:spacing w:after="120"/>
      </w:pPr>
      <w:r>
        <w:rPr>
          <w:rFonts w:ascii="Arial" w:cs="Arial" w:eastAsia="Arial" w:hAnsi="Arial"/>
          <w:sz w:val="22"/>
          <w:szCs w:val="22"/>
        </w:rPr>
        <w:t xml:space="preserve">Each subject term was matched against the Library of Congress Subject Headings (LCSH) to establish connections to a widely-used controlled vocabulary. This process serves two purposes: it validates subject terms against an authoritative source, and it provides access to the LCSH hierarchical structure for potential future use in categorization.</w:t>
      </w:r>
    </w:p>
    <w:p>
      <w:pPr>
        <w:pStyle w:val="Heading2"/>
      </w:pPr>
      <w:r>
        <w:t xml:space="preserve">3.1 Methodology</w:t>
      </w:r>
    </w:p>
    <w:p>
      <w:pPr>
        <w:spacing w:after="120"/>
      </w:pPr>
      <w:r>
        <w:rPr>
          <w:rFonts w:ascii="Arial" w:cs="Arial" w:eastAsia="Arial" w:hAnsi="Arial"/>
          <w:sz w:val="22"/>
          <w:szCs w:val="22"/>
        </w:rPr>
        <w:t xml:space="preserve">Subject names were queried against the id.loc.gov suggest2 API, which returns candidate LCSH headings ranked by relevance. Each result was classified into one of three match quality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112E51" w:val="clear"/>
            <w:tcMar>
              <w:top w:type="dxa" w:w="60"/>
              <w:left w:type="dxa" w:w="100"/>
              <w:bottom w:type="dxa" w:w="60"/>
              <w:right w:type="dxa" w:w="100"/>
            </w:tcMar>
          </w:tcPr>
          <w:p>
            <w:r>
              <w:rPr>
                <w:rFonts w:ascii="Arial" w:cs="Arial" w:eastAsia="Arial" w:hAnsi="Arial"/>
                <w:b/>
                <w:bCs/>
                <w:color w:val="FFFFFF"/>
                <w:sz w:val="20"/>
                <w:szCs w:val="20"/>
              </w:rPr>
              <w:t xml:space="preserve">Match Quality</w:t>
            </w:r>
          </w:p>
        </w:tc>
        <w:tc>
          <w:tcPr>
            <w:tcW w:type="dxa" w:w="1200"/>
            <w:tcBorders>
              <w:top w:val="single" w:color="CCCCCC" w:sz="1"/>
              <w:left w:val="single" w:color="CCCCCC" w:sz="1"/>
              <w:bottom w:val="single" w:color="CCCCCC" w:sz="1"/>
              <w:right w:val="single" w:color="CCCCCC" w:sz="1"/>
            </w:tcBorders>
            <w:shd w:fill="112E51" w:val="clear"/>
            <w:tcMar>
              <w:top w:type="dxa" w:w="60"/>
              <w:left w:type="dxa" w:w="100"/>
              <w:bottom w:type="dxa" w:w="60"/>
              <w:right w:type="dxa" w:w="100"/>
            </w:tcMar>
          </w:tcPr>
          <w:p>
            <w:r>
              <w:rPr>
                <w:rFonts w:ascii="Arial" w:cs="Arial" w:eastAsia="Arial" w:hAnsi="Arial"/>
                <w:b/>
                <w:bCs/>
                <w:color w:val="FFFFFF"/>
                <w:sz w:val="20"/>
                <w:szCs w:val="20"/>
              </w:rPr>
              <w:t xml:space="preserve">Count</w:t>
            </w:r>
          </w:p>
        </w:tc>
        <w:tc>
          <w:tcPr>
            <w:tcW w:type="dxa" w:w="6160"/>
            <w:tcBorders>
              <w:top w:val="single" w:color="CCCCCC" w:sz="1"/>
              <w:left w:val="single" w:color="CCCCCC" w:sz="1"/>
              <w:bottom w:val="single" w:color="CCCCCC" w:sz="1"/>
              <w:right w:val="single" w:color="CCCCCC" w:sz="1"/>
            </w:tcBorders>
            <w:shd w:fill="112E51"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exact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308</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Subject name matches an LCSH authorized heading exactly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good_close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134</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Strong semantic match to an LCSH heading (e.g., minor phrasing differences)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no_match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970</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suitable LCSH heading found; subject is domain-specific to FRUS</w:t>
            </w:r>
          </w:p>
        </w:tc>
      </w:tr>
    </w:tbl>
    <w:p>
      <w:pPr>
        <w:spacing w:after="60"/>
      </w:pPr>
    </w:p>
    <w:p>
      <w:pPr>
        <w:spacing w:after="120"/>
      </w:pPr>
      <w:r>
        <w:rPr>
          <w:rFonts w:ascii="Arial" w:cs="Arial" w:eastAsia="Arial" w:hAnsi="Arial"/>
          <w:sz w:val="22"/>
          <w:szCs w:val="22"/>
        </w:rPr>
        <w:t xml:space="preserve">The high proportion of no-match results (69%) reflects the specialized nature of FRUS subject terms. Many terms refer to specific weapon systems (e.g., "Air-launched cruise missiles"), negotiation frameworks (e.g., "Strategic offensive arms reductions"), or policy-specific concepts that do not have corresponding LCSH headings.</w:t>
      </w:r>
    </w:p>
    <w:p>
      <w:pPr>
        <w:pStyle w:val="Heading2"/>
      </w:pPr>
      <w:r>
        <w:t xml:space="preserve">3.2 Broader-Term Hierarchy</w:t>
      </w:r>
    </w:p>
    <w:p>
      <w:pPr>
        <w:spacing w:after="120"/>
      </w:pPr>
      <w:r>
        <w:rPr>
          <w:rFonts w:ascii="Arial" w:cs="Arial" w:eastAsia="Arial" w:hAnsi="Arial"/>
          <w:sz w:val="22"/>
          <w:szCs w:val="22"/>
        </w:rPr>
        <w:t xml:space="preserve">For subjects with exact or good_close LCSH matches, the system fetched up to two levels of broader terms from the LCSH hierarchy using the SKOS (Simple Knowledge Organization System) JSON-LD endpoint at id.loc.gov. This broader-term data was explored as a potential basis for automatic categorization but was ultimately not used for the top-level category structure, which relies instead on domain-specific keyword matching aligned to the HSG topic headings.</w:t>
      </w:r>
    </w:p>
    <w:p>
      <w:pPr>
        <w:spacing w:after="120"/>
      </w:pPr>
      <w:r>
        <w:rPr>
          <w:rFonts w:ascii="Arial" w:cs="Arial" w:eastAsia="Arial" w:hAnsi="Arial"/>
          <w:sz w:val="22"/>
          <w:szCs w:val="22"/>
        </w:rPr>
        <w:t xml:space="preserve">Broader-term data is cached locally in lcsh_broader_cache.json to avoid repeated API calls. The cache currently contains entries for approximately 440 LCSH URIs.</w:t>
      </w:r>
    </w:p>
    <w:p>
      <w:r>
        <w:br w:type="page"/>
      </w:r>
    </w:p>
    <w:p>
      <w:pPr>
        <w:pStyle w:val="Heading1"/>
      </w:pPr>
      <w:r>
        <w:t xml:space="preserve">4. Categorization Framework</w:t>
      </w:r>
    </w:p>
    <w:p>
      <w:pPr>
        <w:spacing w:after="120"/>
      </w:pPr>
      <w:r>
        <w:rPr>
          <w:rFonts w:ascii="Arial" w:cs="Arial" w:eastAsia="Arial" w:hAnsi="Arial"/>
          <w:sz w:val="22"/>
          <w:szCs w:val="22"/>
        </w:rPr>
        <w:t xml:space="preserve">Subjects are organized into 12 top-level categories corresponding to the Office of the Historian's official topic headings. Within each category, subjects are further grouped into subcategories based on more specific keyword patterns.</w:t>
      </w:r>
    </w:p>
    <w:p>
      <w:pPr>
        <w:pStyle w:val="Heading2"/>
      </w:pPr>
      <w:r>
        <w:t xml:space="preserve">4.1 Keyword-Scoring Algorithm</w:t>
      </w:r>
    </w:p>
    <w:p>
      <w:pPr>
        <w:spacing w:after="120"/>
      </w:pPr>
      <w:r>
        <w:rPr>
          <w:rFonts w:ascii="Arial" w:cs="Arial" w:eastAsia="Arial" w:hAnsi="Arial"/>
          <w:sz w:val="22"/>
          <w:szCs w:val="22"/>
        </w:rPr>
        <w:t xml:space="preserve">Categorization uses a two-stage keyword-scoring algorithm. For each subject, the system tests the subject's name and its LCSH authorized form (if available) against keyword lists defined for each category and subcategory.</w:t>
      </w:r>
    </w:p>
    <w:p>
      <w:pPr>
        <w:spacing w:after="120"/>
      </w:pPr>
      <w:r>
        <w:rPr>
          <w:rFonts w:ascii="Arial" w:cs="Arial" w:eastAsia="Arial" w:hAnsi="Arial"/>
          <w:sz w:val="22"/>
          <w:szCs w:val="22"/>
        </w:rPr>
        <w:t xml:space="preserve">The scoring function performs case-insensitive substring matching. When a keyword is found within the subject text, the keyword's character length is added to the score. This length-weighting ensures that longer, more specific keywords outscore shorter, more generic ones. For example, "intercontinental ballistic missiles" (36 characters) would outscore a generic match on "missile" (7 characters).</w:t>
      </w:r>
    </w:p>
    <w:p>
      <w:pPr>
        <w:pStyle w:val="Heading3"/>
      </w:pPr>
      <w:r>
        <w:t xml:space="preserve">Stage 1: Category Assignment</w:t>
      </w:r>
    </w:p>
    <w:p>
      <w:pPr>
        <w:spacing w:after="120"/>
      </w:pPr>
      <w:r>
        <w:rPr>
          <w:rFonts w:ascii="Arial" w:cs="Arial" w:eastAsia="Arial" w:hAnsi="Arial"/>
          <w:sz w:val="22"/>
          <w:szCs w:val="22"/>
        </w:rPr>
        <w:t xml:space="preserve">The system evaluates all category-level and subcategory-level keywords for each of the 12 categories. The category with the highest cumulative score is selected. If no category scores above zero, the subject is placed in "Uncategorized."</w:t>
      </w:r>
    </w:p>
    <w:p>
      <w:pPr>
        <w:pStyle w:val="Heading3"/>
      </w:pPr>
      <w:r>
        <w:t xml:space="preserve">Stage 2: Subcategory Assignment</w:t>
      </w:r>
    </w:p>
    <w:p>
      <w:pPr>
        <w:spacing w:after="120"/>
      </w:pPr>
      <w:r>
        <w:rPr>
          <w:rFonts w:ascii="Arial" w:cs="Arial" w:eastAsia="Arial" w:hAnsi="Arial"/>
          <w:sz w:val="22"/>
          <w:szCs w:val="22"/>
        </w:rPr>
        <w:t xml:space="preserve">Within the selected category, the system scores only the subcategory keyword lists. The subcategory with the highest score is chosen; if none match, the subject is placed in the "General" subcategory.</w:t>
      </w:r>
    </w:p>
    <w:p>
      <w:pPr>
        <w:pStyle w:val="Heading2"/>
      </w:pPr>
      <w:r>
        <w:t xml:space="preserve">4.2 Manual Category Overrides</w:t>
      </w:r>
    </w:p>
    <w:p>
      <w:pPr>
        <w:spacing w:after="120"/>
      </w:pPr>
      <w:r>
        <w:rPr>
          <w:rFonts w:ascii="Arial" w:cs="Arial" w:eastAsia="Arial" w:hAnsi="Arial"/>
          <w:sz w:val="22"/>
          <w:szCs w:val="22"/>
        </w:rPr>
        <w:t xml:space="preserve">Keyword-based categorization correctly assigns the majority of subjects but produces incorrect results in cases where subject names lack distinguishing keywords or where keyword overlap causes assignment to the wrong category. To address this, 314 manual overrides were applied after editorial review:</w:t>
      </w:r>
    </w:p>
    <w:p>
      <w:pPr>
        <w:pStyle w:val="ListParagraph"/>
        <w:numPr>
          <w:ilvl w:val="0"/>
          <w:numId w:val="2"/>
        </w:numPr>
      </w:pPr>
      <w:r>
        <w:rPr>
          <w:rFonts w:ascii="Arial" w:cs="Arial" w:eastAsia="Arial" w:hAnsi="Arial"/>
          <w:sz w:val="22"/>
          <w:szCs w:val="22"/>
        </w:rPr>
        <w:t xml:space="preserve">195 subjects moved out of "Uncategorized" into appropriate categories</w:t>
      </w:r>
    </w:p>
    <w:p>
      <w:pPr>
        <w:pStyle w:val="ListParagraph"/>
        <w:numPr>
          <w:ilvl w:val="0"/>
          <w:numId w:val="2"/>
        </w:numPr>
      </w:pPr>
      <w:r>
        <w:rPr>
          <w:rFonts w:ascii="Arial" w:cs="Arial" w:eastAsia="Arial" w:hAnsi="Arial"/>
          <w:sz w:val="22"/>
          <w:szCs w:val="22"/>
        </w:rPr>
        <w:t xml:space="preserve">119 subjects reassigned between categories to correct misclassifications</w:t>
      </w:r>
    </w:p>
    <w:p>
      <w:pPr>
        <w:spacing w:after="60"/>
      </w:pPr>
    </w:p>
    <w:p>
      <w:pPr>
        <w:spacing w:after="120"/>
      </w:pPr>
      <w:r>
        <w:rPr>
          <w:rFonts w:ascii="Arial" w:cs="Arial" w:eastAsia="Arial" w:hAnsi="Arial"/>
          <w:sz w:val="22"/>
          <w:szCs w:val="22"/>
        </w:rPr>
        <w:t xml:space="preserve">Notable override patterns include:</w:t>
      </w:r>
    </w:p>
    <w:p>
      <w:pPr>
        <w:pStyle w:val="ListParagraph"/>
        <w:numPr>
          <w:ilvl w:val="0"/>
          <w:numId w:val="2"/>
        </w:numPr>
      </w:pPr>
      <w:r>
        <w:rPr>
          <w:rFonts w:ascii="Arial" w:cs="Arial" w:eastAsia="Arial" w:hAnsi="Arial"/>
          <w:sz w:val="22"/>
          <w:szCs w:val="22"/>
        </w:rPr>
        <w:t xml:space="preserve">"Verification and verification protocols" moved from Department of State / Protocol to Arms Control and Disarmament / Nuclear Nonproliferation</w:t>
      </w:r>
    </w:p>
    <w:p>
      <w:pPr>
        <w:pStyle w:val="ListParagraph"/>
        <w:numPr>
          <w:ilvl w:val="0"/>
          <w:numId w:val="2"/>
        </w:numPr>
      </w:pPr>
      <w:r>
        <w:rPr>
          <w:rFonts w:ascii="Arial" w:cs="Arial" w:eastAsia="Arial" w:hAnsi="Arial"/>
          <w:sz w:val="22"/>
          <w:szCs w:val="22"/>
        </w:rPr>
        <w:t xml:space="preserve">"Hostage" moved from Warfare / General to Politico-Military Issues / Terrorism</w:t>
      </w:r>
    </w:p>
    <w:p>
      <w:pPr>
        <w:pStyle w:val="ListParagraph"/>
        <w:numPr>
          <w:ilvl w:val="0"/>
          <w:numId w:val="2"/>
        </w:numPr>
      </w:pPr>
      <w:r>
        <w:rPr>
          <w:rFonts w:ascii="Arial" w:cs="Arial" w:eastAsia="Arial" w:hAnsi="Arial"/>
          <w:sz w:val="22"/>
          <w:szCs w:val="22"/>
        </w:rPr>
        <w:t xml:space="preserve">Food and famine subjects (e.g., "Hunger," "Food shortages") moved from Foreign Economic Policy / Agriculture to Global Issues / Public Health</w:t>
      </w:r>
    </w:p>
    <w:p>
      <w:pPr>
        <w:pStyle w:val="ListParagraph"/>
        <w:numPr>
          <w:ilvl w:val="0"/>
          <w:numId w:val="2"/>
        </w:numPr>
      </w:pPr>
      <w:r>
        <w:rPr>
          <w:rFonts w:ascii="Arial" w:cs="Arial" w:eastAsia="Arial" w:hAnsi="Arial"/>
          <w:sz w:val="22"/>
          <w:szCs w:val="22"/>
        </w:rPr>
        <w:t xml:space="preserve">Whaling and maritime subjects moved from Global Issues or Science and Technology to International Law / Law of the Sea</w:t>
      </w:r>
    </w:p>
    <w:p>
      <w:pPr>
        <w:spacing w:after="60"/>
      </w:pPr>
    </w:p>
    <w:p>
      <w:pPr>
        <w:spacing w:after="120"/>
      </w:pPr>
      <w:r>
        <w:rPr>
          <w:rFonts w:ascii="Arial" w:cs="Arial" w:eastAsia="Arial" w:hAnsi="Arial"/>
          <w:sz w:val="22"/>
          <w:szCs w:val="22"/>
        </w:rPr>
        <w:t xml:space="preserve">Overrides are stored in category_overrides.json and are applied at build time, taking precedence over keyword-based assignment. This approach preserves the automated categorization logic while allowing editorial corrections without modifying the algorithm itself.</w:t>
      </w:r>
    </w:p>
    <w:p>
      <w:r>
        <w:br w:type="page"/>
      </w:r>
    </w:p>
    <w:p>
      <w:pPr>
        <w:pStyle w:val="Heading1"/>
      </w:pPr>
      <w:r>
        <w:t xml:space="preserve">5. Deduplication</w:t>
      </w:r>
    </w:p>
    <w:p>
      <w:pPr>
        <w:spacing w:after="120"/>
      </w:pPr>
      <w:r>
        <w:rPr>
          <w:rFonts w:ascii="Arial" w:cs="Arial" w:eastAsia="Arial" w:hAnsi="Arial"/>
          <w:sz w:val="22"/>
          <w:szCs w:val="22"/>
        </w:rPr>
        <w:t xml:space="preserve">The raw subject list contains numerous duplicates arising from inconsistent naming, variant forms, and overlapping concepts. Deduplication was performed in two phases, each involving automated detection followed by manual editorial review.</w:t>
      </w:r>
    </w:p>
    <w:p>
      <w:pPr>
        <w:pStyle w:val="Heading2"/>
      </w:pPr>
      <w:r>
        <w:t xml:space="preserve">5.1 Phase 1: Name Normalization</w:t>
      </w:r>
    </w:p>
    <w:p>
      <w:pPr>
        <w:spacing w:after="120"/>
      </w:pPr>
      <w:r>
        <w:rPr>
          <w:rFonts w:ascii="Arial" w:cs="Arial" w:eastAsia="Arial" w:hAnsi="Arial"/>
          <w:sz w:val="22"/>
          <w:szCs w:val="22"/>
        </w:rPr>
        <w:t xml:space="preserve">The first deduplication pass identifies subjects with effectively identical names after normalization. The normalization algorithm:</w:t>
      </w:r>
    </w:p>
    <w:p>
      <w:pPr>
        <w:pStyle w:val="ListParagraph"/>
        <w:numPr>
          <w:ilvl w:val="0"/>
          <w:numId w:val="3"/>
        </w:numPr>
      </w:pPr>
      <w:r>
        <w:rPr>
          <w:rFonts w:ascii="Arial" w:cs="Arial" w:eastAsia="Arial" w:hAnsi="Arial"/>
          <w:sz w:val="22"/>
          <w:szCs w:val="22"/>
        </w:rPr>
        <w:t xml:space="preserve">Converts to lowercase and strips whitespace</w:t>
      </w:r>
    </w:p>
    <w:p>
      <w:pPr>
        <w:pStyle w:val="ListParagraph"/>
        <w:numPr>
          <w:ilvl w:val="0"/>
          <w:numId w:val="3"/>
        </w:numPr>
      </w:pPr>
      <w:r>
        <w:rPr>
          <w:rFonts w:ascii="Arial" w:cs="Arial" w:eastAsia="Arial" w:hAnsi="Arial"/>
          <w:sz w:val="22"/>
          <w:szCs w:val="22"/>
        </w:rPr>
        <w:t xml:space="preserve">Removes parenthetical qualifiers (e.g., removing "(HUMINT)" from a subject name)</w:t>
      </w:r>
    </w:p>
    <w:p>
      <w:pPr>
        <w:pStyle w:val="ListParagraph"/>
        <w:numPr>
          <w:ilvl w:val="0"/>
          <w:numId w:val="3"/>
        </w:numPr>
      </w:pPr>
      <w:r>
        <w:rPr>
          <w:rFonts w:ascii="Arial" w:cs="Arial" w:eastAsia="Arial" w:hAnsi="Arial"/>
          <w:sz w:val="22"/>
          <w:szCs w:val="22"/>
        </w:rPr>
        <w:t xml:space="preserve">Normalizes hyphens and slashes to spaces</w:t>
      </w:r>
    </w:p>
    <w:p>
      <w:pPr>
        <w:pStyle w:val="ListParagraph"/>
        <w:numPr>
          <w:ilvl w:val="0"/>
          <w:numId w:val="3"/>
        </w:numPr>
      </w:pPr>
      <w:r>
        <w:rPr>
          <w:rFonts w:ascii="Arial" w:cs="Arial" w:eastAsia="Arial" w:hAnsi="Arial"/>
          <w:sz w:val="22"/>
          <w:szCs w:val="22"/>
        </w:rPr>
        <w:t xml:space="preserve">Reduces common plurals to singular form</w:t>
      </w:r>
    </w:p>
    <w:p>
      <w:pPr>
        <w:spacing w:after="60"/>
      </w:pPr>
    </w:p>
    <w:p>
      <w:pPr>
        <w:spacing w:after="120"/>
      </w:pPr>
      <w:r>
        <w:rPr>
          <w:rFonts w:ascii="Arial" w:cs="Arial" w:eastAsia="Arial" w:hAnsi="Arial"/>
          <w:sz w:val="22"/>
          <w:szCs w:val="22"/>
        </w:rPr>
        <w:t xml:space="preserve">This phase detected 64 groups of near-duplicate subjects. An interactive review tool (dedup-review.html) was used to evaluate each group and decide whether to merge or keep entries separate. A total of 57 groups were marked for merge, 5 were skipped (kept separate), and 2 were resolved through the semantic review phase.</w:t>
      </w:r>
    </w:p>
    <w:p>
      <w:pPr>
        <w:pStyle w:val="Heading2"/>
      </w:pPr>
      <w:r>
        <w:t xml:space="preserve">5.2 Phase 2: Semantic Deduplication</w:t>
      </w:r>
    </w:p>
    <w:p>
      <w:pPr>
        <w:spacing w:after="120"/>
      </w:pPr>
      <w:r>
        <w:rPr>
          <w:rFonts w:ascii="Arial" w:cs="Arial" w:eastAsia="Arial" w:hAnsi="Arial"/>
          <w:sz w:val="22"/>
          <w:szCs w:val="22"/>
        </w:rPr>
        <w:t xml:space="preserve">The second pass identifies conceptual duplicates where subjects refer to the same concept but use different phrasing. Detection was performed using word-overlap analysis: after removing stop words, subject name pairs sharing at least two meaningful words and exhibiting 80% or more overlap in their word sets were flagged as potential duplicates.</w:t>
      </w:r>
    </w:p>
    <w:p>
      <w:pPr>
        <w:spacing w:after="120"/>
      </w:pPr>
      <w:r>
        <w:rPr>
          <w:rFonts w:ascii="Arial" w:cs="Arial" w:eastAsia="Arial" w:hAnsi="Arial"/>
          <w:sz w:val="22"/>
          <w:szCs w:val="22"/>
        </w:rPr>
        <w:t xml:space="preserve">Detected groups were classified into four types:</w:t>
      </w:r>
    </w:p>
    <w:p>
      <w:pPr>
        <w:pStyle w:val="ListParagraph"/>
        <w:numPr>
          <w:ilvl w:val="0"/>
          <w:numId w:val="2"/>
        </w:numPr>
      </w:pPr>
      <w:r>
        <w:rPr>
          <w:rFonts w:ascii="Arial" w:cs="Arial" w:eastAsia="Arial" w:hAnsi="Arial"/>
          <w:b/>
          <w:bCs/>
          <w:sz w:val="22"/>
          <w:szCs w:val="22"/>
        </w:rPr>
        <w:t xml:space="preserve">Near-identical: </w:t>
      </w:r>
      <w:r>
        <w:rPr>
          <w:rFonts w:ascii="Arial" w:cs="Arial" w:eastAsia="Arial" w:hAnsi="Arial"/>
          <w:sz w:val="22"/>
          <w:szCs w:val="22"/>
        </w:rPr>
        <w:t xml:space="preserve">Trivial spelling or formatting differences (e.g., "Defense and Space" vs. "Defense and space")</w:t>
      </w:r>
    </w:p>
    <w:p>
      <w:pPr>
        <w:pStyle w:val="ListParagraph"/>
        <w:numPr>
          <w:ilvl w:val="0"/>
          <w:numId w:val="2"/>
        </w:numPr>
      </w:pPr>
      <w:r>
        <w:rPr>
          <w:rFonts w:ascii="Arial" w:cs="Arial" w:eastAsia="Arial" w:hAnsi="Arial"/>
          <w:b/>
          <w:bCs/>
          <w:sz w:val="22"/>
          <w:szCs w:val="22"/>
        </w:rPr>
        <w:t xml:space="preserve">Same concept: </w:t>
      </w:r>
      <w:r>
        <w:rPr>
          <w:rFonts w:ascii="Arial" w:cs="Arial" w:eastAsia="Arial" w:hAnsi="Arial"/>
          <w:sz w:val="22"/>
          <w:szCs w:val="22"/>
        </w:rPr>
        <w:t xml:space="preserve">Different phrasing of the same idea (e.g., "Foreign aid" and "Development assistance")</w:t>
      </w:r>
    </w:p>
    <w:p>
      <w:pPr>
        <w:pStyle w:val="ListParagraph"/>
        <w:numPr>
          <w:ilvl w:val="0"/>
          <w:numId w:val="2"/>
        </w:numPr>
      </w:pPr>
      <w:r>
        <w:rPr>
          <w:rFonts w:ascii="Arial" w:cs="Arial" w:eastAsia="Arial" w:hAnsi="Arial"/>
          <w:b/>
          <w:bCs/>
          <w:sz w:val="22"/>
          <w:szCs w:val="22"/>
        </w:rPr>
        <w:t xml:space="preserve">Hierarchical: </w:t>
      </w:r>
      <w:r>
        <w:rPr>
          <w:rFonts w:ascii="Arial" w:cs="Arial" w:eastAsia="Arial" w:hAnsi="Arial"/>
          <w:sz w:val="22"/>
          <w:szCs w:val="22"/>
        </w:rPr>
        <w:t xml:space="preserve">One term is a narrower form of the other (e.g., "INF" and "Intermediate Range Nuclear Forces")</w:t>
      </w:r>
    </w:p>
    <w:p>
      <w:pPr>
        <w:pStyle w:val="ListParagraph"/>
        <w:numPr>
          <w:ilvl w:val="0"/>
          <w:numId w:val="2"/>
        </w:numPr>
      </w:pPr>
      <w:r>
        <w:rPr>
          <w:rFonts w:ascii="Arial" w:cs="Arial" w:eastAsia="Arial" w:hAnsi="Arial"/>
          <w:b/>
          <w:bCs/>
          <w:sz w:val="22"/>
          <w:szCs w:val="22"/>
        </w:rPr>
        <w:t xml:space="preserve">Bilateral: </w:t>
      </w:r>
      <w:r>
        <w:rPr>
          <w:rFonts w:ascii="Arial" w:cs="Arial" w:eastAsia="Arial" w:hAnsi="Arial"/>
          <w:sz w:val="22"/>
          <w:szCs w:val="22"/>
        </w:rPr>
        <w:t xml:space="preserve">Country-pair relationship terms (e.g., "U.S.-Soviet relations" and "Soviet Union bilateral issues")</w:t>
      </w:r>
    </w:p>
    <w:p>
      <w:pPr>
        <w:spacing w:after="60"/>
      </w:pPr>
    </w:p>
    <w:p>
      <w:pPr>
        <w:spacing w:after="120"/>
      </w:pPr>
      <w:r>
        <w:rPr>
          <w:rFonts w:ascii="Arial" w:cs="Arial" w:eastAsia="Arial" w:hAnsi="Arial"/>
          <w:sz w:val="22"/>
          <w:szCs w:val="22"/>
        </w:rPr>
        <w:t xml:space="preserve">A second review tool (semantic-dedup-review.html) was used for evaluation. From 67 semantic groups, 40 were marked for merge, 23 were skipped, and 4 remain unreviewed.</w:t>
      </w:r>
    </w:p>
    <w:p>
      <w:pPr>
        <w:pStyle w:val="Heading2"/>
      </w:pPr>
      <w:r>
        <w:t xml:space="preserve">5.3 Merge Process</w:t>
      </w:r>
    </w:p>
    <w:p>
      <w:pPr>
        <w:spacing w:after="120"/>
      </w:pPr>
      <w:r>
        <w:rPr>
          <w:rFonts w:ascii="Arial" w:cs="Arial" w:eastAsia="Arial" w:hAnsi="Arial"/>
          <w:sz w:val="22"/>
          <w:szCs w:val="22"/>
        </w:rPr>
        <w:t xml:space="preserve">When subjects are merged, the system:</w:t>
      </w:r>
    </w:p>
    <w:p>
      <w:pPr>
        <w:pStyle w:val="ListParagraph"/>
        <w:numPr>
          <w:ilvl w:val="0"/>
          <w:numId w:val="2"/>
        </w:numPr>
      </w:pPr>
      <w:r>
        <w:rPr>
          <w:rFonts w:ascii="Arial" w:cs="Arial" w:eastAsia="Arial" w:hAnsi="Arial"/>
          <w:sz w:val="22"/>
          <w:szCs w:val="22"/>
        </w:rPr>
        <w:t xml:space="preserve">Designates one entry as the primary (either the entry with the highest annotation count, or a user-selected primary)</w:t>
      </w:r>
    </w:p>
    <w:p>
      <w:pPr>
        <w:pStyle w:val="ListParagraph"/>
        <w:numPr>
          <w:ilvl w:val="0"/>
          <w:numId w:val="2"/>
        </w:numPr>
      </w:pPr>
      <w:r>
        <w:rPr>
          <w:rFonts w:ascii="Arial" w:cs="Arial" w:eastAsia="Arial" w:hAnsi="Arial"/>
          <w:sz w:val="22"/>
          <w:szCs w:val="22"/>
        </w:rPr>
        <w:t xml:space="preserve">Sums annotation counts across all entries in the group</w:t>
      </w:r>
    </w:p>
    <w:p>
      <w:pPr>
        <w:pStyle w:val="ListParagraph"/>
        <w:numPr>
          <w:ilvl w:val="0"/>
          <w:numId w:val="2"/>
        </w:numPr>
      </w:pPr>
      <w:r>
        <w:rPr>
          <w:rFonts w:ascii="Arial" w:cs="Arial" w:eastAsia="Arial" w:hAnsi="Arial"/>
          <w:sz w:val="22"/>
          <w:szCs w:val="22"/>
        </w:rPr>
        <w:t xml:space="preserve">Takes the union of all volume appearances and document-level annotations</w:t>
      </w:r>
    </w:p>
    <w:p>
      <w:pPr>
        <w:pStyle w:val="ListParagraph"/>
        <w:numPr>
          <w:ilvl w:val="0"/>
          <w:numId w:val="2"/>
        </w:numPr>
      </w:pPr>
      <w:r>
        <w:rPr>
          <w:rFonts w:ascii="Arial" w:cs="Arial" w:eastAsia="Arial" w:hAnsi="Arial"/>
          <w:sz w:val="22"/>
          <w:szCs w:val="22"/>
        </w:rPr>
        <w:t xml:space="preserve">Preserves the best LCSH match (preferring "exact" over "good_close")</w:t>
      </w:r>
    </w:p>
    <w:p>
      <w:pPr>
        <w:pStyle w:val="ListParagraph"/>
        <w:numPr>
          <w:ilvl w:val="0"/>
          <w:numId w:val="2"/>
        </w:numPr>
      </w:pPr>
      <w:r>
        <w:rPr>
          <w:rFonts w:ascii="Arial" w:cs="Arial" w:eastAsia="Arial" w:hAnsi="Arial"/>
          <w:sz w:val="22"/>
          <w:szCs w:val="22"/>
        </w:rPr>
        <w:t xml:space="preserve">Removes all secondary entries from the mapping</w:t>
      </w:r>
    </w:p>
    <w:p>
      <w:pPr>
        <w:pStyle w:val="ListParagraph"/>
        <w:numPr>
          <w:ilvl w:val="0"/>
          <w:numId w:val="2"/>
        </w:numPr>
      </w:pPr>
      <w:r>
        <w:rPr>
          <w:rFonts w:ascii="Arial" w:cs="Arial" w:eastAsia="Arial" w:hAnsi="Arial"/>
          <w:sz w:val="22"/>
          <w:szCs w:val="22"/>
        </w:rPr>
        <w:t xml:space="preserve">Records all original record IDs in a merged_refs field for traceability</w:t>
      </w:r>
    </w:p>
    <w:p>
      <w:pPr>
        <w:spacing w:after="60"/>
      </w:pPr>
    </w:p>
    <w:p>
      <w:pPr>
        <w:spacing w:after="120"/>
      </w:pPr>
      <w:r>
        <w:rPr>
          <w:rFonts w:ascii="Arial" w:cs="Arial" w:eastAsia="Arial" w:hAnsi="Arial"/>
          <w:sz w:val="22"/>
          <w:szCs w:val="22"/>
        </w:rPr>
        <w:t xml:space="preserve">Combined dedup decisions are stored in dedup_decisions.json (99 merge groups, 3 skip groups) and are applied at build time before categorization.</w:t>
      </w:r>
    </w:p>
    <w:p>
      <w:r>
        <w:br w:type="page"/>
      </w:r>
    </w:p>
    <w:p>
      <w:pPr>
        <w:pStyle w:val="Heading1"/>
      </w:pPr>
      <w:r>
        <w:t xml:space="preserve">6. Output Formats</w:t>
      </w:r>
    </w:p>
    <w:p>
      <w:pPr>
        <w:pStyle w:val="Heading2"/>
      </w:pPr>
      <w:r>
        <w:t xml:space="preserve">6.1 Taxonomy XML</w:t>
      </w:r>
    </w:p>
    <w:p>
      <w:pPr>
        <w:spacing w:after="120"/>
      </w:pPr>
      <w:r>
        <w:rPr>
          <w:rFonts w:ascii="Arial" w:cs="Arial" w:eastAsia="Arial" w:hAnsi="Arial"/>
          <w:sz w:val="22"/>
          <w:szCs w:val="22"/>
        </w:rPr>
        <w:t xml:space="preserve">The primary output is subject-taxonomy-lcsh.xml, a hierarchical XML file containing all categorized and uncategorized subjects with their metadata and document-level appearance data. The structure is:</w:t>
      </w:r>
    </w:p>
    <w:p>
      <w:pPr>
        <w:spacing w:after="60"/>
      </w:pPr>
    </w:p>
    <w:p>
      <w:pPr>
        <w:spacing w:after="0"/>
        <w:ind w:left="360"/>
      </w:pPr>
      <w:r>
        <w:rPr>
          <w:rFonts w:ascii="Courier New" w:cs="Courier New" w:eastAsia="Courier New" w:hAnsi="Courier New"/>
          <w:sz w:val="18"/>
          <w:szCs w:val="18"/>
        </w:rPr>
        <w:t xml:space="preserve">&lt;taxonomy total-subjects="1288"&gt;</w:t>
      </w:r>
    </w:p>
    <w:p>
      <w:pPr>
        <w:spacing w:after="0"/>
        <w:ind w:left="360"/>
      </w:pPr>
      <w:r>
        <w:rPr>
          <w:rFonts w:ascii="Courier New" w:cs="Courier New" w:eastAsia="Courier New" w:hAnsi="Courier New"/>
          <w:sz w:val="18"/>
          <w:szCs w:val="18"/>
        </w:rPr>
        <w:t xml:space="preserve">  &lt;category label="..." total-annotations="..." total-subjects="..."&gt;</w:t>
      </w:r>
    </w:p>
    <w:p>
      <w:pPr>
        <w:spacing w:after="0"/>
        <w:ind w:left="360"/>
      </w:pPr>
      <w:r>
        <w:rPr>
          <w:rFonts w:ascii="Courier New" w:cs="Courier New" w:eastAsia="Courier New" w:hAnsi="Courier New"/>
          <w:sz w:val="18"/>
          <w:szCs w:val="18"/>
        </w:rPr>
        <w:t xml:space="preserve">    &lt;subcategory label="..." total-annotations="..." total-subjects="..."&gt;</w:t>
      </w:r>
    </w:p>
    <w:p>
      <w:pPr>
        <w:spacing w:after="0"/>
        <w:ind w:left="360"/>
      </w:pPr>
      <w:r>
        <w:rPr>
          <w:rFonts w:ascii="Courier New" w:cs="Courier New" w:eastAsia="Courier New" w:hAnsi="Courier New"/>
          <w:sz w:val="18"/>
          <w:szCs w:val="18"/>
        </w:rPr>
        <w:t xml:space="preserve">      &lt;subject ref="rec..." type="topic" count="..." volumes="..."&gt;</w:t>
      </w:r>
    </w:p>
    <w:p>
      <w:pPr>
        <w:spacing w:after="0"/>
        <w:ind w:left="360"/>
      </w:pPr>
      <w:r>
        <w:rPr>
          <w:rFonts w:ascii="Courier New" w:cs="Courier New" w:eastAsia="Courier New" w:hAnsi="Courier New"/>
          <w:sz w:val="18"/>
          <w:szCs w:val="18"/>
        </w:rPr>
        <w:t xml:space="preserve">        &lt;name&gt;Subject Name&lt;/name&gt;</w:t>
      </w:r>
    </w:p>
    <w:p>
      <w:pPr>
        <w:spacing w:after="0"/>
        <w:ind w:left="360"/>
      </w:pPr>
      <w:r>
        <w:rPr>
          <w:rFonts w:ascii="Courier New" w:cs="Courier New" w:eastAsia="Courier New" w:hAnsi="Courier New"/>
          <w:sz w:val="18"/>
          <w:szCs w:val="18"/>
        </w:rPr>
        <w:t xml:space="preserve">        &lt;lcsh-authorized-form&gt;LCSH Heading&lt;/lcsh-authorized-form&gt;</w:t>
      </w:r>
    </w:p>
    <w:p>
      <w:pPr>
        <w:spacing w:after="0"/>
        <w:ind w:left="360"/>
      </w:pPr>
      <w:r>
        <w:rPr>
          <w:rFonts w:ascii="Courier New" w:cs="Courier New" w:eastAsia="Courier New" w:hAnsi="Courier New"/>
          <w:sz w:val="18"/>
          <w:szCs w:val="18"/>
        </w:rPr>
        <w:t xml:space="preserve">        &lt;appearsIn&gt;vol1, vol2, ...&lt;/appearsIn&gt;</w:t>
      </w:r>
    </w:p>
    <w:p>
      <w:pPr>
        <w:spacing w:after="0"/>
        <w:ind w:left="360"/>
      </w:pPr>
      <w:r>
        <w:rPr>
          <w:rFonts w:ascii="Courier New" w:cs="Courier New" w:eastAsia="Courier New" w:hAnsi="Courier New"/>
          <w:sz w:val="18"/>
          <w:szCs w:val="18"/>
        </w:rPr>
        <w:t xml:space="preserve">        &lt;documents&gt;</w:t>
      </w:r>
    </w:p>
    <w:p>
      <w:pPr>
        <w:spacing w:after="0"/>
        <w:ind w:left="360"/>
      </w:pPr>
      <w:r>
        <w:rPr>
          <w:rFonts w:ascii="Courier New" w:cs="Courier New" w:eastAsia="Courier New" w:hAnsi="Courier New"/>
          <w:sz w:val="18"/>
          <w:szCs w:val="18"/>
        </w:rPr>
        <w:t xml:space="preserve">          &lt;volume id="frus..."&gt;d1, d2, d3, ...&lt;/volume&gt;</w:t>
      </w:r>
    </w:p>
    <w:p>
      <w:pPr>
        <w:spacing w:after="0"/>
        <w:ind w:left="360"/>
      </w:pPr>
      <w:r>
        <w:rPr>
          <w:rFonts w:ascii="Courier New" w:cs="Courier New" w:eastAsia="Courier New" w:hAnsi="Courier New"/>
          <w:sz w:val="18"/>
          <w:szCs w:val="18"/>
        </w:rPr>
        <w:t xml:space="preserve">        &lt;/documents&gt;</w:t>
      </w:r>
    </w:p>
    <w:p>
      <w:pPr>
        <w:spacing w:after="0"/>
        <w:ind w:left="360"/>
      </w:pPr>
      <w:r>
        <w:rPr>
          <w:rFonts w:ascii="Courier New" w:cs="Courier New" w:eastAsia="Courier New" w:hAnsi="Courier New"/>
          <w:sz w:val="18"/>
          <w:szCs w:val="18"/>
        </w:rPr>
        <w:t xml:space="preserve">      &lt;/subject&gt;</w:t>
      </w:r>
    </w:p>
    <w:p>
      <w:pPr>
        <w:spacing w:after="0"/>
        <w:ind w:left="360"/>
      </w:pPr>
      <w:r>
        <w:rPr>
          <w:rFonts w:ascii="Courier New" w:cs="Courier New" w:eastAsia="Courier New" w:hAnsi="Courier New"/>
          <w:sz w:val="18"/>
          <w:szCs w:val="18"/>
        </w:rPr>
        <w:t xml:space="preserve">    &lt;/subcategory&gt;</w:t>
      </w:r>
    </w:p>
    <w:p>
      <w:pPr>
        <w:spacing w:after="0"/>
        <w:ind w:left="360"/>
      </w:pPr>
      <w:r>
        <w:rPr>
          <w:rFonts w:ascii="Courier New" w:cs="Courier New" w:eastAsia="Courier New" w:hAnsi="Courier New"/>
          <w:sz w:val="18"/>
          <w:szCs w:val="18"/>
        </w:rPr>
        <w:t xml:space="preserve">  &lt;/category&gt;</w:t>
      </w:r>
    </w:p>
    <w:p>
      <w:pPr>
        <w:spacing w:after="0"/>
        <w:ind w:left="360"/>
      </w:pPr>
      <w:r>
        <w:rPr>
          <w:rFonts w:ascii="Courier New" w:cs="Courier New" w:eastAsia="Courier New" w:hAnsi="Courier New"/>
          <w:sz w:val="18"/>
          <w:szCs w:val="18"/>
        </w:rPr>
        <w:t xml:space="preserve">&lt;/taxonomy&gt;</w:t>
      </w:r>
    </w:p>
    <w:p>
      <w:pPr>
        <w:spacing w:after="60"/>
      </w:pPr>
    </w:p>
    <w:p>
      <w:pPr>
        <w:spacing w:after="120"/>
      </w:pPr>
      <w:r>
        <w:rPr>
          <w:rFonts w:ascii="Arial" w:cs="Arial" w:eastAsia="Arial" w:hAnsi="Arial"/>
          <w:sz w:val="22"/>
          <w:szCs w:val="22"/>
        </w:rPr>
        <w:t xml:space="preserve">Key attributes on subject elements:</w:t>
      </w:r>
    </w:p>
    <w:p>
      <w:pPr>
        <w:pStyle w:val="ListParagraph"/>
        <w:numPr>
          <w:ilvl w:val="0"/>
          <w:numId w:val="2"/>
        </w:numPr>
      </w:pPr>
      <w:r>
        <w:rPr>
          <w:rFonts w:ascii="Arial" w:cs="Arial" w:eastAsia="Arial" w:hAnsi="Arial"/>
          <w:b/>
          <w:bCs/>
          <w:sz w:val="22"/>
          <w:szCs w:val="22"/>
        </w:rPr>
        <w:t xml:space="preserve">ref: </w:t>
      </w:r>
      <w:r>
        <w:rPr>
          <w:rFonts w:ascii="Arial" w:cs="Arial" w:eastAsia="Arial" w:hAnsi="Arial"/>
          <w:sz w:val="22"/>
          <w:szCs w:val="22"/>
        </w:rPr>
        <w:t xml:space="preserve">Airtable record ID (unique identifier)</w:t>
      </w:r>
    </w:p>
    <w:p>
      <w:pPr>
        <w:pStyle w:val="ListParagraph"/>
        <w:numPr>
          <w:ilvl w:val="0"/>
          <w:numId w:val="2"/>
        </w:numPr>
      </w:pPr>
      <w:r>
        <w:rPr>
          <w:rFonts w:ascii="Arial" w:cs="Arial" w:eastAsia="Arial" w:hAnsi="Arial"/>
          <w:b/>
          <w:bCs/>
          <w:sz w:val="22"/>
          <w:szCs w:val="22"/>
        </w:rPr>
        <w:t xml:space="preserve">type: </w:t>
      </w:r>
      <w:r>
        <w:rPr>
          <w:rFonts w:ascii="Arial" w:cs="Arial" w:eastAsia="Arial" w:hAnsi="Arial"/>
          <w:sz w:val="22"/>
          <w:szCs w:val="22"/>
        </w:rPr>
        <w:t xml:space="preserve">"topic" or "compound-subject"</w:t>
      </w:r>
    </w:p>
    <w:p>
      <w:pPr>
        <w:pStyle w:val="ListParagraph"/>
        <w:numPr>
          <w:ilvl w:val="0"/>
          <w:numId w:val="2"/>
        </w:numPr>
      </w:pPr>
      <w:r>
        <w:rPr>
          <w:rFonts w:ascii="Arial" w:cs="Arial" w:eastAsia="Arial" w:hAnsi="Arial"/>
          <w:b/>
          <w:bCs/>
          <w:sz w:val="22"/>
          <w:szCs w:val="22"/>
        </w:rPr>
        <w:t xml:space="preserve">count: </w:t>
      </w:r>
      <w:r>
        <w:rPr>
          <w:rFonts w:ascii="Arial" w:cs="Arial" w:eastAsia="Arial" w:hAnsi="Arial"/>
          <w:sz w:val="22"/>
          <w:szCs w:val="22"/>
        </w:rPr>
        <w:t xml:space="preserve">Total number of document-level annotations</w:t>
      </w:r>
    </w:p>
    <w:p>
      <w:pPr>
        <w:pStyle w:val="ListParagraph"/>
        <w:numPr>
          <w:ilvl w:val="0"/>
          <w:numId w:val="2"/>
        </w:numPr>
      </w:pPr>
      <w:r>
        <w:rPr>
          <w:rFonts w:ascii="Arial" w:cs="Arial" w:eastAsia="Arial" w:hAnsi="Arial"/>
          <w:b/>
          <w:bCs/>
          <w:sz w:val="22"/>
          <w:szCs w:val="22"/>
        </w:rPr>
        <w:t xml:space="preserve">volumes: </w:t>
      </w:r>
      <w:r>
        <w:rPr>
          <w:rFonts w:ascii="Arial" w:cs="Arial" w:eastAsia="Arial" w:hAnsi="Arial"/>
          <w:sz w:val="22"/>
          <w:szCs w:val="22"/>
        </w:rPr>
        <w:t xml:space="preserve">Number of volumes where the subject appears</w:t>
      </w:r>
    </w:p>
    <w:p>
      <w:pPr>
        <w:pStyle w:val="ListParagraph"/>
        <w:numPr>
          <w:ilvl w:val="0"/>
          <w:numId w:val="2"/>
        </w:numPr>
      </w:pPr>
      <w:r>
        <w:rPr>
          <w:rFonts w:ascii="Arial" w:cs="Arial" w:eastAsia="Arial" w:hAnsi="Arial"/>
          <w:b/>
          <w:bCs/>
          <w:sz w:val="22"/>
          <w:szCs w:val="22"/>
        </w:rPr>
        <w:t xml:space="preserve">lcsh-uri: </w:t>
      </w:r>
      <w:r>
        <w:rPr>
          <w:rFonts w:ascii="Arial" w:cs="Arial" w:eastAsia="Arial" w:hAnsi="Arial"/>
          <w:sz w:val="22"/>
          <w:szCs w:val="22"/>
        </w:rPr>
        <w:t xml:space="preserve">URI of the matching LCSH heading (if exact or good_close match)</w:t>
      </w:r>
    </w:p>
    <w:p>
      <w:pPr>
        <w:pStyle w:val="ListParagraph"/>
        <w:numPr>
          <w:ilvl w:val="0"/>
          <w:numId w:val="2"/>
        </w:numPr>
      </w:pPr>
      <w:r>
        <w:rPr>
          <w:rFonts w:ascii="Arial" w:cs="Arial" w:eastAsia="Arial" w:hAnsi="Arial"/>
          <w:b/>
          <w:bCs/>
          <w:sz w:val="22"/>
          <w:szCs w:val="22"/>
        </w:rPr>
        <w:t xml:space="preserve">lcsh-match: </w:t>
      </w:r>
      <w:r>
        <w:rPr>
          <w:rFonts w:ascii="Arial" w:cs="Arial" w:eastAsia="Arial" w:hAnsi="Arial"/>
          <w:sz w:val="22"/>
          <w:szCs w:val="22"/>
        </w:rPr>
        <w:t xml:space="preserve">Match quality ("exact" or "good_close")</w:t>
      </w:r>
    </w:p>
    <w:p>
      <w:pPr>
        <w:pStyle w:val="Heading2"/>
      </w:pPr>
      <w:r>
        <w:t xml:space="preserve">6.2 Interactive Mockup</w:t>
      </w:r>
    </w:p>
    <w:p>
      <w:pPr>
        <w:spacing w:after="120"/>
      </w:pPr>
      <w:r>
        <w:rPr>
          <w:rFonts w:ascii="Arial" w:cs="Arial" w:eastAsia="Arial" w:hAnsi="Arial"/>
          <w:sz w:val="22"/>
          <w:szCs w:val="22"/>
        </w:rPr>
        <w:t xml:space="preserve">The mockup (hsg-subjects-mockup.html) is a self-contained HTML file that replicates the history.state.gov design system. It provides a browsable interface where users can navigate by category and subcategory, search across all subjects, and drill down to see every FRUS document associated with a subject, with direct links to the published documents online.</w:t>
      </w:r>
    </w:p>
    <w:p>
      <w:pPr>
        <w:spacing w:after="120"/>
      </w:pPr>
      <w:r>
        <w:rPr>
          <w:rFonts w:ascii="Arial" w:cs="Arial" w:eastAsia="Arial" w:hAnsi="Arial"/>
          <w:sz w:val="22"/>
          <w:szCs w:val="22"/>
        </w:rPr>
        <w:t xml:space="preserve">The mockup embeds all data directly in the HTML file (approximately 4.7 MB total), requiring no server-side infrastructure. It is generated from two intermediate JSON files:</w:t>
      </w:r>
    </w:p>
    <w:p>
      <w:pPr>
        <w:pStyle w:val="ListParagraph"/>
        <w:numPr>
          <w:ilvl w:val="0"/>
          <w:numId w:val="2"/>
        </w:numPr>
      </w:pPr>
      <w:r>
        <w:rPr>
          <w:rFonts w:ascii="Arial" w:cs="Arial" w:eastAsia="Arial" w:hAnsi="Arial"/>
          <w:b/>
          <w:bCs/>
          <w:sz w:val="22"/>
          <w:szCs w:val="22"/>
        </w:rPr>
        <w:t xml:space="preserve">mockup_sidebar_data.json: </w:t>
      </w:r>
      <w:r>
        <w:rPr>
          <w:rFonts w:ascii="Arial" w:cs="Arial" w:eastAsia="Arial" w:hAnsi="Arial"/>
          <w:sz w:val="22"/>
          <w:szCs w:val="22"/>
        </w:rPr>
        <w:t xml:space="preserve">Category/subcategory hierarchy with subject lists and counts</w:t>
      </w:r>
    </w:p>
    <w:p>
      <w:pPr>
        <w:pStyle w:val="ListParagraph"/>
        <w:numPr>
          <w:ilvl w:val="0"/>
          <w:numId w:val="2"/>
        </w:numPr>
      </w:pPr>
      <w:r>
        <w:rPr>
          <w:rFonts w:ascii="Arial" w:cs="Arial" w:eastAsia="Arial" w:hAnsi="Arial"/>
          <w:b/>
          <w:bCs/>
          <w:sz w:val="22"/>
          <w:szCs w:val="22"/>
        </w:rPr>
        <w:t xml:space="preserve">mockup_subject_data.json: </w:t>
      </w:r>
      <w:r>
        <w:rPr>
          <w:rFonts w:ascii="Arial" w:cs="Arial" w:eastAsia="Arial" w:hAnsi="Arial"/>
          <w:sz w:val="22"/>
          <w:szCs w:val="22"/>
        </w:rPr>
        <w:t xml:space="preserve">Full subject details including document-level metadata (titles, dates, URLs)</w:t>
      </w:r>
    </w:p>
    <w:p>
      <w:pPr>
        <w:pStyle w:val="Heading2"/>
      </w:pPr>
      <w:r>
        <w:t xml:space="preserve">6.3 Taxonomy Review Tool</w:t>
      </w:r>
    </w:p>
    <w:p>
      <w:pPr>
        <w:spacing w:after="120"/>
      </w:pPr>
      <w:r>
        <w:rPr>
          <w:rFonts w:ascii="Arial" w:cs="Arial" w:eastAsia="Arial" w:hAnsi="Arial"/>
          <w:sz w:val="22"/>
          <w:szCs w:val="22"/>
        </w:rPr>
        <w:t xml:space="preserve">The review tool (taxonomy-review.html) is a self-contained HTML editorial interface generated by build_taxonomy_review.py. It displays all subjects organized by their assigned HSG topic categories. Editors can accept or reject LCSH mappings, reassign subjects to different categories, search across all subjects, and filter by match quality or review status. Decisions auto-save to the development server and can be exported as lcsh_decisions.json for the pipeline.</w:t>
      </w:r>
    </w:p>
    <w:p>
      <w:pPr>
        <w:spacing w:after="120"/>
      </w:pPr>
      <w:r>
        <w:rPr>
          <w:rFonts w:ascii="Arial" w:cs="Arial" w:eastAsia="Arial" w:hAnsi="Arial"/>
          <w:sz w:val="22"/>
          <w:szCs w:val="22"/>
        </w:rPr>
        <w:t xml:space="preserve">The annotation review tool (string-match-review.html) includes a 'Taxonomy Review' button that rebuilds the full taxonomy chain (variant groups, document appearances, taxonomy XML, and HTML) and opens the taxonomy review tool in a new browser tab, providing a seamless transition from annotation review to taxonomy review.</w:t>
      </w:r>
    </w:p>
    <w:p>
      <w:r>
        <w:br w:type="page"/>
      </w:r>
    </w:p>
    <w:p>
      <w:pPr>
        <w:pStyle w:val="Heading1"/>
      </w:pPr>
      <w:r>
        <w:t xml:space="preserve">7. Pipeline Reference</w:t>
      </w:r>
    </w:p>
    <w:p>
      <w:pPr>
        <w:pStyle w:val="Heading2"/>
      </w:pPr>
      <w:r>
        <w:t xml:space="preserve">7.1 End-to-End Workflow</w:t>
      </w:r>
    </w:p>
    <w:p>
      <w:pPr>
        <w:spacing w:after="120"/>
      </w:pPr>
      <w:r>
        <w:rPr>
          <w:rFonts w:ascii="Arial" w:cs="Arial" w:eastAsia="Arial" w:hAnsi="Arial"/>
          <w:sz w:val="22"/>
          <w:szCs w:val="22"/>
        </w:rPr>
        <w:t xml:space="preserve">The taxonomy is built through six phases:</w:t>
      </w:r>
    </w:p>
    <w:p>
      <w:pPr>
        <w:spacing w:after="60"/>
      </w:pPr>
    </w:p>
    <w:p>
      <w:pPr>
        <w:pStyle w:val="Heading3"/>
      </w:pPr>
      <w:r>
        <w:t xml:space="preserve">Phase 1: Data Extraction</w:t>
      </w:r>
    </w:p>
    <w:p>
      <w:pPr>
        <w:pStyle w:val="ListParagraph"/>
        <w:numPr>
          <w:ilvl w:val="0"/>
          <w:numId w:val="2"/>
        </w:numPr>
      </w:pPr>
      <w:r>
        <w:rPr>
          <w:rFonts w:ascii="Arial" w:cs="Arial" w:eastAsia="Arial" w:hAnsi="Arial"/>
          <w:sz w:val="22"/>
          <w:szCs w:val="22"/>
        </w:rPr>
        <w:t xml:space="preserve">Split monolithic TEI volumes into per-document files (make split or split_volume.py)</w:t>
      </w:r>
    </w:p>
    <w:p>
      <w:pPr>
        <w:pStyle w:val="ListParagraph"/>
        <w:numPr>
          <w:ilvl w:val="0"/>
          <w:numId w:val="2"/>
        </w:numPr>
      </w:pPr>
      <w:r>
        <w:rPr>
          <w:rFonts w:ascii="Arial" w:cs="Arial" w:eastAsia="Arial" w:hAnsi="Arial"/>
          <w:sz w:val="22"/>
          <w:szCs w:val="22"/>
        </w:rPr>
        <w:t xml:space="preserve">Extract subject annotations from annotated FRUS TEI XML volumes</w:t>
      </w:r>
    </w:p>
    <w:p>
      <w:pPr>
        <w:pStyle w:val="ListParagraph"/>
        <w:numPr>
          <w:ilvl w:val="0"/>
          <w:numId w:val="2"/>
        </w:numPr>
      </w:pPr>
      <w:r>
        <w:rPr>
          <w:rFonts w:ascii="Arial" w:cs="Arial" w:eastAsia="Arial" w:hAnsi="Arial"/>
          <w:sz w:val="22"/>
          <w:szCs w:val="22"/>
        </w:rPr>
        <w:t xml:space="preserve">Extract document metadata (titles, dates) from TEI headers</w:t>
      </w:r>
    </w:p>
    <w:p>
      <w:pPr>
        <w:pStyle w:val="ListParagraph"/>
        <w:numPr>
          <w:ilvl w:val="0"/>
          <w:numId w:val="2"/>
        </w:numPr>
      </w:pPr>
      <w:r>
        <w:rPr>
          <w:rFonts w:ascii="Arial" w:cs="Arial" w:eastAsia="Arial" w:hAnsi="Arial"/>
          <w:sz w:val="22"/>
          <w:szCs w:val="22"/>
        </w:rPr>
        <w:t xml:space="preserve">Query each subject against id.loc.gov for LCSH matching</w:t>
      </w:r>
    </w:p>
    <w:p>
      <w:pPr>
        <w:pStyle w:val="Heading3"/>
      </w:pPr>
      <w:r>
        <w:t xml:space="preserve">Phase 2: Deduplication Review</w:t>
      </w:r>
    </w:p>
    <w:p>
      <w:pPr>
        <w:pStyle w:val="ListParagraph"/>
        <w:numPr>
          <w:ilvl w:val="0"/>
          <w:numId w:val="2"/>
        </w:numPr>
      </w:pPr>
      <w:r>
        <w:rPr>
          <w:rFonts w:ascii="Arial" w:cs="Arial" w:eastAsia="Arial" w:hAnsi="Arial"/>
          <w:sz w:val="22"/>
          <w:szCs w:val="22"/>
        </w:rPr>
        <w:t xml:space="preserve">Review near-duplicate groups using dedup-review.html; export merge/skip decisions</w:t>
      </w:r>
    </w:p>
    <w:p>
      <w:pPr>
        <w:pStyle w:val="ListParagraph"/>
        <w:numPr>
          <w:ilvl w:val="0"/>
          <w:numId w:val="2"/>
        </w:numPr>
      </w:pPr>
      <w:r>
        <w:rPr>
          <w:rFonts w:ascii="Arial" w:cs="Arial" w:eastAsia="Arial" w:hAnsi="Arial"/>
          <w:sz w:val="22"/>
          <w:szCs w:val="22"/>
        </w:rPr>
        <w:t xml:space="preserve">Review semantic duplicate groups using semantic-dedup-review.html; export decisions</w:t>
      </w:r>
    </w:p>
    <w:p>
      <w:pPr>
        <w:pStyle w:val="Heading3"/>
      </w:pPr>
      <w:r>
        <w:t xml:space="preserve">Phase 3: Annotation Review</w:t>
      </w:r>
    </w:p>
    <w:p>
      <w:pPr>
        <w:pStyle w:val="ListParagraph"/>
        <w:numPr>
          <w:ilvl w:val="0"/>
          <w:numId w:val="2"/>
        </w:numPr>
      </w:pPr>
      <w:r>
        <w:rPr>
          <w:rFonts w:ascii="Arial" w:cs="Arial" w:eastAsia="Arial" w:hAnsi="Arial"/>
          <w:sz w:val="22"/>
          <w:szCs w:val="22"/>
        </w:rPr>
        <w:t xml:space="preserve">Run string-match annotation against volumes (annotate_documents.py)</w:t>
      </w:r>
    </w:p>
    <w:p>
      <w:pPr>
        <w:pStyle w:val="ListParagraph"/>
        <w:numPr>
          <w:ilvl w:val="0"/>
          <w:numId w:val="2"/>
        </w:numPr>
      </w:pPr>
      <w:r>
        <w:rPr>
          <w:rFonts w:ascii="Arial" w:cs="Arial" w:eastAsia="Arial" w:hAnsi="Arial"/>
          <w:sz w:val="22"/>
          <w:szCs w:val="22"/>
        </w:rPr>
        <w:t xml:space="preserve">Review annotation matches in string-match-review.html (accept/reject per volume)</w:t>
      </w:r>
    </w:p>
    <w:p>
      <w:pPr>
        <w:pStyle w:val="ListParagraph"/>
        <w:numPr>
          <w:ilvl w:val="0"/>
          <w:numId w:val="2"/>
        </w:numPr>
      </w:pPr>
      <w:r>
        <w:rPr>
          <w:rFonts w:ascii="Arial" w:cs="Arial" w:eastAsia="Arial" w:hAnsi="Arial"/>
          <w:sz w:val="22"/>
          <w:szCs w:val="22"/>
        </w:rPr>
        <w:t xml:space="preserve">Run Pipeline button applies decisions, rebuilds variant groups, and propagates to taxonomy</w:t>
      </w:r>
    </w:p>
    <w:p>
      <w:pPr>
        <w:pStyle w:val="ListParagraph"/>
        <w:numPr>
          <w:ilvl w:val="0"/>
          <w:numId w:val="2"/>
        </w:numPr>
      </w:pPr>
      <w:r>
        <w:rPr>
          <w:rFonts w:ascii="Arial" w:cs="Arial" w:eastAsia="Arial" w:hAnsi="Arial"/>
          <w:sz w:val="22"/>
          <w:szCs w:val="22"/>
        </w:rPr>
        <w:t xml:space="preserve">Taxonomy Review button rebuilds and opens taxonomy-review.html in a new tab</w:t>
      </w:r>
    </w:p>
    <w:p>
      <w:pPr>
        <w:pStyle w:val="Heading3"/>
      </w:pPr>
      <w:r>
        <w:t xml:space="preserve">Phase 4: Taxonomy Build</w:t>
      </w:r>
    </w:p>
    <w:p>
      <w:pPr>
        <w:pStyle w:val="ListParagraph"/>
        <w:numPr>
          <w:ilvl w:val="0"/>
          <w:numId w:val="2"/>
        </w:numPr>
      </w:pPr>
      <w:r>
        <w:rPr>
          <w:rFonts w:ascii="Arial" w:cs="Arial" w:eastAsia="Arial" w:hAnsi="Arial"/>
          <w:sz w:val="22"/>
          <w:szCs w:val="22"/>
        </w:rPr>
        <w:t xml:space="preserve">Apply global dedup decisions (merge secondary entries into primaries)</w:t>
      </w:r>
    </w:p>
    <w:p>
      <w:pPr>
        <w:pStyle w:val="ListParagraph"/>
        <w:numPr>
          <w:ilvl w:val="0"/>
          <w:numId w:val="2"/>
        </w:numPr>
      </w:pPr>
      <w:r>
        <w:rPr>
          <w:rFonts w:ascii="Arial" w:cs="Arial" w:eastAsia="Arial" w:hAnsi="Arial"/>
          <w:sz w:val="22"/>
          <w:szCs w:val="22"/>
        </w:rPr>
        <w:t xml:space="preserve">Fetch 2-level LCSH broader-term hierarchies (cached)</w:t>
      </w:r>
    </w:p>
    <w:p>
      <w:pPr>
        <w:pStyle w:val="ListParagraph"/>
        <w:numPr>
          <w:ilvl w:val="0"/>
          <w:numId w:val="2"/>
        </w:numPr>
      </w:pPr>
      <w:r>
        <w:rPr>
          <w:rFonts w:ascii="Arial" w:cs="Arial" w:eastAsia="Arial" w:hAnsi="Arial"/>
          <w:sz w:val="22"/>
          <w:szCs w:val="22"/>
        </w:rPr>
        <w:t xml:space="preserve">Categorize all subjects using keyword scoring + manual overrides</w:t>
      </w:r>
    </w:p>
    <w:p>
      <w:pPr>
        <w:pStyle w:val="ListParagraph"/>
        <w:numPr>
          <w:ilvl w:val="0"/>
          <w:numId w:val="2"/>
        </w:numPr>
      </w:pPr>
      <w:r>
        <w:rPr>
          <w:rFonts w:ascii="Arial" w:cs="Arial" w:eastAsia="Arial" w:hAnsi="Arial"/>
          <w:sz w:val="22"/>
          <w:szCs w:val="22"/>
        </w:rPr>
        <w:t xml:space="preserve">Deduplicate within subcategories</w:t>
      </w:r>
    </w:p>
    <w:p>
      <w:pPr>
        <w:pStyle w:val="ListParagraph"/>
        <w:numPr>
          <w:ilvl w:val="0"/>
          <w:numId w:val="2"/>
        </w:numPr>
      </w:pPr>
      <w:r>
        <w:rPr>
          <w:rFonts w:ascii="Arial" w:cs="Arial" w:eastAsia="Arial" w:hAnsi="Arial"/>
          <w:sz w:val="22"/>
          <w:szCs w:val="22"/>
        </w:rPr>
        <w:t xml:space="preserve">Generate subject-taxonomy-lcsh.xml</w:t>
      </w:r>
    </w:p>
    <w:p>
      <w:pPr>
        <w:pStyle w:val="Heading3"/>
      </w:pPr>
      <w:r>
        <w:t xml:space="preserve">Phase 5: Taxonomy Review</w:t>
      </w:r>
    </w:p>
    <w:p>
      <w:pPr>
        <w:pStyle w:val="ListParagraph"/>
        <w:numPr>
          <w:ilvl w:val="0"/>
          <w:numId w:val="2"/>
        </w:numPr>
      </w:pPr>
      <w:r>
        <w:rPr>
          <w:rFonts w:ascii="Arial" w:cs="Arial" w:eastAsia="Arial" w:hAnsi="Arial"/>
          <w:sz w:val="22"/>
          <w:szCs w:val="22"/>
        </w:rPr>
        <w:t xml:space="preserve">Review LCSH mappings in taxonomy-review.html (accept/reject)</w:t>
      </w:r>
    </w:p>
    <w:p>
      <w:pPr>
        <w:pStyle w:val="ListParagraph"/>
        <w:numPr>
          <w:ilvl w:val="0"/>
          <w:numId w:val="2"/>
        </w:numPr>
      </w:pPr>
      <w:r>
        <w:rPr>
          <w:rFonts w:ascii="Arial" w:cs="Arial" w:eastAsia="Arial" w:hAnsi="Arial"/>
          <w:sz w:val="22"/>
          <w:szCs w:val="22"/>
        </w:rPr>
        <w:t xml:space="preserve">Reassign subjects to different categories and subcategories</w:t>
      </w:r>
    </w:p>
    <w:p>
      <w:pPr>
        <w:pStyle w:val="ListParagraph"/>
        <w:numPr>
          <w:ilvl w:val="0"/>
          <w:numId w:val="2"/>
        </w:numPr>
      </w:pPr>
      <w:r>
        <w:rPr>
          <w:rFonts w:ascii="Arial" w:cs="Arial" w:eastAsia="Arial" w:hAnsi="Arial"/>
          <w:sz w:val="22"/>
          <w:szCs w:val="22"/>
        </w:rPr>
        <w:t xml:space="preserve">Export decisions as lcsh_decisions.json; auto-saves to server</w:t>
      </w:r>
    </w:p>
    <w:p>
      <w:pPr>
        <w:pStyle w:val="Heading3"/>
      </w:pPr>
      <w:r>
        <w:t xml:space="preserve">Phase 6: Mockup and Validation</w:t>
      </w:r>
    </w:p>
    <w:p>
      <w:pPr>
        <w:pStyle w:val="ListParagraph"/>
        <w:numPr>
          <w:ilvl w:val="0"/>
          <w:numId w:val="2"/>
        </w:numPr>
      </w:pPr>
      <w:r>
        <w:rPr>
          <w:rFonts w:ascii="Arial" w:cs="Arial" w:eastAsia="Arial" w:hAnsi="Arial"/>
          <w:sz w:val="22"/>
          <w:szCs w:val="22"/>
        </w:rPr>
        <w:t xml:space="preserve">Generate sidebar and subject data JSON files</w:t>
      </w:r>
    </w:p>
    <w:p>
      <w:pPr>
        <w:pStyle w:val="ListParagraph"/>
        <w:numPr>
          <w:ilvl w:val="0"/>
          <w:numId w:val="2"/>
        </w:numPr>
      </w:pPr>
      <w:r>
        <w:rPr>
          <w:rFonts w:ascii="Arial" w:cs="Arial" w:eastAsia="Arial" w:hAnsi="Arial"/>
          <w:sz w:val="22"/>
          <w:szCs w:val="22"/>
        </w:rPr>
        <w:t xml:space="preserve">Build self-contained HTML mockup with embedded data</w:t>
      </w:r>
    </w:p>
    <w:p>
      <w:pPr>
        <w:pStyle w:val="ListParagraph"/>
        <w:numPr>
          <w:ilvl w:val="0"/>
          <w:numId w:val="2"/>
        </w:numPr>
      </w:pPr>
      <w:r>
        <w:rPr>
          <w:rFonts w:ascii="Arial" w:cs="Arial" w:eastAsia="Arial" w:hAnsi="Arial"/>
          <w:sz w:val="22"/>
          <w:szCs w:val="22"/>
        </w:rPr>
        <w:t xml:space="preserve">Review mockup for correct categorization and data integrity</w:t>
      </w:r>
    </w:p>
    <w:p>
      <w:pPr>
        <w:pStyle w:val="ListParagraph"/>
        <w:numPr>
          <w:ilvl w:val="0"/>
          <w:numId w:val="2"/>
        </w:numPr>
      </w:pPr>
      <w:r>
        <w:rPr>
          <w:rFonts w:ascii="Arial" w:cs="Arial" w:eastAsia="Arial" w:hAnsi="Arial"/>
          <w:sz w:val="22"/>
          <w:szCs w:val="22"/>
        </w:rPr>
        <w:t xml:space="preserve">Run validate_data.py to check integrity across all volumes</w:t>
      </w:r>
    </w:p>
    <w:p>
      <w:pPr>
        <w:pStyle w:val="Heading2"/>
      </w:pPr>
      <w:r>
        <w:t xml:space="preserve">7.2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12E51" w:val="clear"/>
            <w:tcMar>
              <w:top w:type="dxa" w:w="60"/>
              <w:left w:type="dxa" w:w="100"/>
              <w:bottom w:type="dxa" w:w="60"/>
              <w:right w:type="dxa" w:w="100"/>
            </w:tcMar>
          </w:tcPr>
          <w:p>
            <w:r>
              <w:rPr>
                <w:rFonts w:ascii="Arial" w:cs="Arial" w:eastAsia="Arial" w:hAnsi="Arial"/>
                <w:b/>
                <w:bCs/>
                <w:color w:val="FFFFFF"/>
                <w:sz w:val="20"/>
                <w:szCs w:val="20"/>
              </w:rPr>
              <w:t xml:space="preserve">Script</w:t>
            </w:r>
          </w:p>
        </w:tc>
        <w:tc>
          <w:tcPr>
            <w:tcW w:type="dxa" w:w="6160"/>
            <w:tcBorders>
              <w:top w:val="single" w:color="CCCCCC" w:sz="1"/>
              <w:left w:val="single" w:color="CCCCCC" w:sz="1"/>
              <w:bottom w:val="single" w:color="CCCCCC" w:sz="1"/>
              <w:right w:val="single" w:color="CCCCCC" w:sz="1"/>
            </w:tcBorders>
            <w:shd w:fill="112E51"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build_taxonomy_lcsh.py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 build: LCSH fetching, categorization, dedup, XML generation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build_taxonomy_review.py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Generates taxonomy-review.html from taxonomy XML and config files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rebuild_taxonomy_review.py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taxonomy rebuild chain: variant groups → doc appearances → XML → HTML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build_annotation_review.py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Builds string-match-review.html with pipeline action buttons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run_reviewed_pipeline.py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Orchestrates the full 8-step post-review pipeline for a volume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annotate_documents.py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String-match annotation engine with stoplist and variant support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generate_mockup_data.py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Generates sidebar and subject JSON data for the mockup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build_mockup_html.py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Builds self-contained HTML mockup with embedded data</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extract_doc_appearances.py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Extracts document-level annotations from TEI XML volumes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build_variant_groups.py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Consolidates variant name forms from dedup, LCSH, and manual overrides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split_volume.py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Splits a monolithic TEI volume into per-document files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validate_data.py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Validates data integrity across all volumes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lcsh_mapper.py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Queries subjects against id.loc.gov suggest2 API</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apply_review_decisions.py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Applies exported review decisions (rejections, merges, LCSH) to config</w:t>
            </w:r>
          </w:p>
        </w:tc>
      </w:tr>
    </w:tbl>
    <w:p>
      <w:pPr>
        <w:spacing w:after="60"/>
      </w:pPr>
    </w:p>
    <w:p>
      <w:pPr>
        <w:pStyle w:val="Heading2"/>
      </w:pPr>
      <w:r>
        <w:t xml:space="preserve">7.3 Data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12E51"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5760"/>
            <w:tcBorders>
              <w:top w:val="single" w:color="CCCCCC" w:sz="1"/>
              <w:left w:val="single" w:color="CCCCCC" w:sz="1"/>
              <w:bottom w:val="single" w:color="CCCCCC" w:sz="1"/>
              <w:right w:val="single" w:color="CCCCCC" w:sz="1"/>
            </w:tcBorders>
            <w:shd w:fill="112E51"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lcsh_mapping.json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Master subject data with LCSH matches and metadata (814 KB)</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document_appearances.json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Subject-to-document mapping: {rec_id: {volume: [doc_ids]}}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doc_metadata.json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Document titles, dates, and volume metadata (1 MB)</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dedup_decisions.json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Reviewed merge/skip decisions for 99 duplicate groups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category_overrides.json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Manual category reassignments from editorial review (updated by taxonomy-review.html)</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variant_overrides.json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Manual variant group split/merge overrides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annotation_stoplist.json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Terms excluded from string matching (too generic)</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lcsh_broader_cache.json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Cached LCSH broader-term hierarchies (~440 entries)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semantic_dedup_groups.json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67 semantic duplicate groups for review tool</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semantic_dedup_decisions.json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Reviewed semantic merge/skip decisions</w:t>
            </w:r>
          </w:p>
        </w:tc>
      </w:tr>
    </w:tbl>
    <w:p>
      <w:pPr>
        <w:spacing w:after="60"/>
      </w:pPr>
    </w:p>
    <w:p>
      <w:pPr>
        <w:pStyle w:val="Heading2"/>
      </w:pPr>
      <w:r>
        <w:t xml:space="preserve">7.4 Regeneration Commands</w:t>
      </w:r>
    </w:p>
    <w:p>
      <w:pPr>
        <w:spacing w:after="120"/>
      </w:pPr>
      <w:r>
        <w:rPr>
          <w:rFonts w:ascii="Arial" w:cs="Arial" w:eastAsia="Arial" w:hAnsi="Arial"/>
          <w:sz w:val="22"/>
          <w:szCs w:val="22"/>
        </w:rPr>
        <w:t xml:space="preserve">A Makefile provides the single entry point for all pipeline operations. To regenerate from current data:</w:t>
      </w:r>
    </w:p>
    <w:p>
      <w:pPr>
        <w:spacing w:after="60"/>
      </w:pPr>
    </w:p>
    <w:p>
      <w:pPr>
        <w:spacing w:after="0"/>
        <w:ind w:left="360"/>
      </w:pPr>
      <w:r>
        <w:rPr>
          <w:rFonts w:ascii="Courier New" w:cs="Courier New" w:eastAsia="Courier New" w:hAnsi="Courier New"/>
          <w:color w:val="71767A"/>
          <w:sz w:val="18"/>
          <w:szCs w:val="18"/>
        </w:rPr>
        <w:t xml:space="preserve"># One-time setup (install deps + split + convert + build tools)</w:t>
      </w:r>
    </w:p>
    <w:p>
      <w:pPr>
        <w:spacing w:after="0"/>
        <w:ind w:left="360"/>
      </w:pPr>
      <w:r>
        <w:rPr>
          <w:rFonts w:ascii="Courier New" w:cs="Courier New" w:eastAsia="Courier New" w:hAnsi="Courier New"/>
          <w:color w:val="000000"/>
          <w:sz w:val="18"/>
          <w:szCs w:val="18"/>
        </w:rPr>
        <w:t xml:space="preserve">make setup</w:t>
      </w:r>
    </w:p>
    <w:p>
      <w:pPr>
        <w:spacing w:after="0"/>
        <w:ind w:left="360"/>
      </w:pPr>
      <w:r>
        <w:rPr>
          <w:rFonts w:ascii="Courier New" w:cs="Courier New" w:eastAsia="Courier New" w:hAnsi="Courier New"/>
          <w:color w:val="000000"/>
          <w:sz w:val="18"/>
          <w:szCs w:val="18"/>
        </w:rPr>
        <w:t xml:space="preserve"> </w:t>
      </w:r>
    </w:p>
    <w:p>
      <w:pPr>
        <w:spacing w:after="0"/>
        <w:ind w:left="360"/>
      </w:pPr>
      <w:r>
        <w:rPr>
          <w:rFonts w:ascii="Courier New" w:cs="Courier New" w:eastAsia="Courier New" w:hAnsi="Courier New"/>
          <w:color w:val="71767A"/>
          <w:sz w:val="18"/>
          <w:szCs w:val="18"/>
        </w:rPr>
        <w:t xml:space="preserve"># Start the development server</w:t>
      </w:r>
    </w:p>
    <w:p>
      <w:pPr>
        <w:spacing w:after="0"/>
        <w:ind w:left="360"/>
      </w:pPr>
      <w:r>
        <w:rPr>
          <w:rFonts w:ascii="Courier New" w:cs="Courier New" w:eastAsia="Courier New" w:hAnsi="Courier New"/>
          <w:color w:val="000000"/>
          <w:sz w:val="18"/>
          <w:szCs w:val="18"/>
        </w:rPr>
        <w:t xml:space="preserve">make serve</w:t>
      </w:r>
    </w:p>
    <w:p>
      <w:pPr>
        <w:spacing w:after="0"/>
        <w:ind w:left="360"/>
      </w:pPr>
      <w:r>
        <w:rPr>
          <w:rFonts w:ascii="Courier New" w:cs="Courier New" w:eastAsia="Courier New" w:hAnsi="Courier New"/>
          <w:color w:val="000000"/>
          <w:sz w:val="18"/>
          <w:szCs w:val="18"/>
        </w:rPr>
        <w:t xml:space="preserve"> </w:t>
      </w:r>
    </w:p>
    <w:p>
      <w:pPr>
        <w:spacing w:after="0"/>
        <w:ind w:left="360"/>
      </w:pPr>
      <w:r>
        <w:rPr>
          <w:rFonts w:ascii="Courier New" w:cs="Courier New" w:eastAsia="Courier New" w:hAnsi="Courier New"/>
          <w:color w:val="71767A"/>
          <w:sz w:val="18"/>
          <w:szCs w:val="18"/>
        </w:rPr>
        <w:t xml:space="preserve"># Build review tools individually</w:t>
      </w:r>
    </w:p>
    <w:p>
      <w:pPr>
        <w:spacing w:after="0"/>
        <w:ind w:left="360"/>
      </w:pPr>
      <w:r>
        <w:rPr>
          <w:rFonts w:ascii="Courier New" w:cs="Courier New" w:eastAsia="Courier New" w:hAnsi="Courier New"/>
          <w:color w:val="000000"/>
          <w:sz w:val="18"/>
          <w:szCs w:val="18"/>
        </w:rPr>
        <w:t xml:space="preserve">make review           # string-match-review.html</w:t>
      </w:r>
    </w:p>
    <w:p>
      <w:pPr>
        <w:spacing w:after="0"/>
        <w:ind w:left="360"/>
      </w:pPr>
      <w:r>
        <w:rPr>
          <w:rFonts w:ascii="Courier New" w:cs="Courier New" w:eastAsia="Courier New" w:hAnsi="Courier New"/>
          <w:color w:val="000000"/>
          <w:sz w:val="18"/>
          <w:szCs w:val="18"/>
        </w:rPr>
        <w:t xml:space="preserve">make taxonomy-review  # taxonomy-review.html</w:t>
      </w:r>
    </w:p>
    <w:p>
      <w:pPr>
        <w:spacing w:after="0"/>
        <w:ind w:left="360"/>
      </w:pPr>
      <w:r>
        <w:rPr>
          <w:rFonts w:ascii="Courier New" w:cs="Courier New" w:eastAsia="Courier New" w:hAnsi="Courier New"/>
          <w:color w:val="000000"/>
          <w:sz w:val="18"/>
          <w:szCs w:val="18"/>
        </w:rPr>
        <w:t xml:space="preserve"> </w:t>
      </w:r>
    </w:p>
    <w:p>
      <w:pPr>
        <w:spacing w:after="0"/>
        <w:ind w:left="360"/>
      </w:pPr>
      <w:r>
        <w:rPr>
          <w:rFonts w:ascii="Courier New" w:cs="Courier New" w:eastAsia="Courier New" w:hAnsi="Courier New"/>
          <w:color w:val="71767A"/>
          <w:sz w:val="18"/>
          <w:szCs w:val="18"/>
        </w:rPr>
        <w:t xml:space="preserve"># Run the full post-review pipeline for a volume</w:t>
      </w:r>
    </w:p>
    <w:p>
      <w:pPr>
        <w:spacing w:after="0"/>
        <w:ind w:left="360"/>
      </w:pPr>
      <w:r>
        <w:rPr>
          <w:rFonts w:ascii="Courier New" w:cs="Courier New" w:eastAsia="Courier New" w:hAnsi="Courier New"/>
          <w:color w:val="000000"/>
          <w:sz w:val="18"/>
          <w:szCs w:val="18"/>
        </w:rPr>
        <w:t xml:space="preserve">make pipeline VOL=frus1969-76v19p2</w:t>
      </w:r>
    </w:p>
    <w:p>
      <w:pPr>
        <w:spacing w:after="0"/>
        <w:ind w:left="360"/>
      </w:pPr>
      <w:r>
        <w:rPr>
          <w:rFonts w:ascii="Courier New" w:cs="Courier New" w:eastAsia="Courier New" w:hAnsi="Courier New"/>
          <w:color w:val="000000"/>
          <w:sz w:val="18"/>
          <w:szCs w:val="18"/>
        </w:rPr>
        <w:t xml:space="preserve"> </w:t>
      </w:r>
    </w:p>
    <w:p>
      <w:pPr>
        <w:spacing w:after="0"/>
        <w:ind w:left="360"/>
      </w:pPr>
      <w:r>
        <w:rPr>
          <w:rFonts w:ascii="Courier New" w:cs="Courier New" w:eastAsia="Courier New" w:hAnsi="Courier New"/>
          <w:color w:val="71767A"/>
          <w:sz w:val="18"/>
          <w:szCs w:val="18"/>
        </w:rPr>
        <w:t xml:space="preserve"># Validate data integrity</w:t>
      </w:r>
    </w:p>
    <w:p>
      <w:pPr>
        <w:spacing w:after="0"/>
        <w:ind w:left="360"/>
      </w:pPr>
      <w:r>
        <w:rPr>
          <w:rFonts w:ascii="Courier New" w:cs="Courier New" w:eastAsia="Courier New" w:hAnsi="Courier New"/>
          <w:color w:val="000000"/>
          <w:sz w:val="18"/>
          <w:szCs w:val="18"/>
        </w:rPr>
        <w:t xml:space="preserve">make validate</w:t>
      </w:r>
    </w:p>
    <w:p>
      <w:pPr>
        <w:spacing w:after="0"/>
        <w:ind w:left="360"/>
      </w:pPr>
      <w:r>
        <w:rPr>
          <w:rFonts w:ascii="Courier New" w:cs="Courier New" w:eastAsia="Courier New" w:hAnsi="Courier New"/>
          <w:color w:val="000000"/>
          <w:sz w:val="18"/>
          <w:szCs w:val="18"/>
        </w:rPr>
        <w:t xml:space="preserve"> </w:t>
      </w:r>
    </w:p>
    <w:p>
      <w:pPr>
        <w:spacing w:after="0"/>
        <w:ind w:left="360"/>
      </w:pPr>
      <w:r>
        <w:rPr>
          <w:rFonts w:ascii="Courier New" w:cs="Courier New" w:eastAsia="Courier New" w:hAnsi="Courier New"/>
          <w:color w:val="71767A"/>
          <w:sz w:val="18"/>
          <w:szCs w:val="18"/>
        </w:rPr>
        <w:t xml:space="preserve"># Direct script commands:</w:t>
      </w:r>
    </w:p>
    <w:p>
      <w:pPr>
        <w:spacing w:after="0"/>
        <w:ind w:left="360"/>
      </w:pPr>
      <w:r>
        <w:rPr>
          <w:rFonts w:ascii="Courier New" w:cs="Courier New" w:eastAsia="Courier New" w:hAnsi="Courier New"/>
          <w:color w:val="000000"/>
          <w:sz w:val="18"/>
          <w:szCs w:val="18"/>
        </w:rPr>
        <w:t xml:space="preserve">python3 build_taxonomy_lcsh.py all   # Full LCSH fetch + build</w:t>
      </w:r>
    </w:p>
    <w:p>
      <w:pPr>
        <w:spacing w:after="0"/>
        <w:ind w:left="360"/>
      </w:pPr>
      <w:r>
        <w:rPr>
          <w:rFonts w:ascii="Courier New" w:cs="Courier New" w:eastAsia="Courier New" w:hAnsi="Courier New"/>
          <w:color w:val="000000"/>
          <w:sz w:val="18"/>
          <w:szCs w:val="18"/>
        </w:rPr>
        <w:t xml:space="preserve">python3 build_taxonomy_lcsh.py build # XML only (cached terms)</w:t>
      </w:r>
    </w:p>
    <w:p>
      <w:pPr>
        <w:spacing w:after="0"/>
        <w:ind w:left="360"/>
      </w:pPr>
      <w:r>
        <w:rPr>
          <w:rFonts w:ascii="Courier New" w:cs="Courier New" w:eastAsia="Courier New" w:hAnsi="Courier New"/>
          <w:color w:val="000000"/>
          <w:sz w:val="18"/>
          <w:szCs w:val="18"/>
        </w:rPr>
        <w:t xml:space="preserve">python3 generate_mockup_data.py      # Mockup data JSON</w:t>
      </w:r>
    </w:p>
    <w:p>
      <w:pPr>
        <w:spacing w:after="0"/>
        <w:ind w:left="360"/>
      </w:pPr>
      <w:r>
        <w:rPr>
          <w:rFonts w:ascii="Courier New" w:cs="Courier New" w:eastAsia="Courier New" w:hAnsi="Courier New"/>
          <w:color w:val="000000"/>
          <w:sz w:val="18"/>
          <w:szCs w:val="18"/>
        </w:rPr>
        <w:t xml:space="preserve">python3 build_mockup_html.py         # Mockup HTML</w:t>
      </w:r>
    </w:p>
    <w:p>
      <w:pPr>
        <w:spacing w:after="60"/>
      </w:pPr>
    </w:p>
    <w:p>
      <w:r>
        <w:br w:type="page"/>
      </w:r>
    </w:p>
    <w:p>
      <w:pPr>
        <w:pStyle w:val="Heading1"/>
      </w:pPr>
      <w:r>
        <w:t xml:space="preserve">Appendix A: Category Reference</w:t>
      </w:r>
    </w:p>
    <w:p>
      <w:pPr>
        <w:spacing w:after="120"/>
      </w:pPr>
      <w:r>
        <w:rPr>
          <w:rFonts w:ascii="Arial" w:cs="Arial" w:eastAsia="Arial" w:hAnsi="Arial"/>
          <w:sz w:val="22"/>
          <w:szCs w:val="22"/>
        </w:rPr>
        <w:t xml:space="preserve">The following table lists all 12 categories with their subject counts, annotation counts, and subcategories. Categories are sorted by total annotations (descending).</w:t>
      </w:r>
    </w:p>
    <w:p>
      <w:pPr>
        <w:spacing w:after="60"/>
      </w:pPr>
    </w:p>
    <w:p>
      <w:pPr>
        <w:pBdr>
          <w:bottom w:val="single" w:color="205493" w:sz="2" w:space="1"/>
        </w:pBdr>
        <w:spacing w:after="80" w:before="200"/>
      </w:pPr>
      <w:r>
        <w:rPr>
          <w:rFonts w:ascii="Arial" w:cs="Arial" w:eastAsia="Arial" w:hAnsi="Arial"/>
          <w:b/>
          <w:bCs/>
          <w:color w:val="112E51"/>
          <w:sz w:val="24"/>
          <w:szCs w:val="24"/>
        </w:rPr>
        <w:t xml:space="preserve">Arms Control and Disarmament</w:t>
      </w:r>
      <w:r>
        <w:rPr>
          <w:rFonts w:ascii="Arial" w:cs="Arial" w:eastAsia="Arial" w:hAnsi="Arial"/>
          <w:color w:val="71767A"/>
          <w:sz w:val="20"/>
          <w:szCs w:val="20"/>
        </w:rPr>
        <w:t xml:space="preserve">  (166 subjects, 27,405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c>
          <w:tcPr>
            <w:tcW w:type="dxa" w:w="6560"/>
            <w:tcBorders>
              <w:top w:val="single" w:color="CCCCCC" w:sz="1"/>
              <w:left w:val="single" w:color="CCCCCC" w:sz="1"/>
              <w:bottom w:val="single" w:color="CCCCCC" w:sz="1"/>
              <w:right w:val="single" w:color="CCCCCC" w:sz="1"/>
            </w:tcBorders>
            <w:shd w:fill="112E51" w:val="clear"/>
            <w:tcMar>
              <w:top w:type="dxa" w:w="60"/>
              <w:left w:type="dxa" w:w="100"/>
              <w:bottom w:type="dxa" w:w="60"/>
              <w:right w:type="dxa" w:w="100"/>
            </w:tcMar>
          </w:tcPr>
          <w:p>
            <w:r>
              <w:rPr>
                <w:rFonts w:ascii="Arial" w:cs="Arial" w:eastAsia="Arial" w:hAnsi="Arial"/>
                <w:b/>
                <w:bCs/>
                <w:color w:val="FFFFFF"/>
                <w:sz w:val="20"/>
                <w:szCs w:val="20"/>
              </w:rPr>
              <w:t xml:space="preserve">Subcategory</w:t>
            </w:r>
          </w:p>
        </w:tc>
        <w:tc>
          <w:tcPr>
            <w:tcW w:type="dxa" w:w="2800"/>
            <w:tcBorders>
              <w:top w:val="single" w:color="CCCCCC" w:sz="1"/>
              <w:left w:val="single" w:color="CCCCCC" w:sz="1"/>
              <w:bottom w:val="single" w:color="CCCCCC" w:sz="1"/>
              <w:right w:val="single" w:color="CCCCCC" w:sz="1"/>
            </w:tcBorders>
            <w:shd w:fill="112E51" w:val="clear"/>
            <w:tcMar>
              <w:top w:type="dxa" w:w="60"/>
              <w:left w:type="dxa" w:w="100"/>
              <w:bottom w:type="dxa" w:w="60"/>
              <w:right w:type="dxa" w:w="100"/>
            </w:tcMar>
          </w:tcPr>
          <w:p>
            <w:r>
              <w:rPr>
                <w:rFonts w:ascii="Arial" w:cs="Arial" w:eastAsia="Arial" w:hAnsi="Arial"/>
                <w:b/>
                <w:bCs/>
                <w:color w:val="FFFFFF"/>
                <w:sz w:val="20"/>
                <w:szCs w:val="20"/>
              </w:rPr>
              <w:t xml:space="preserve">Subjects</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Nuclear Weapons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104</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20</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Nuclear Nonproliferation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22</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Confidence-Building Measures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6</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Arms Transfers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5</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Chemical and Bacteriological Warfare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5</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Collective Security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3</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Arms Embargoes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w:t>
            </w:r>
          </w:p>
        </w:tc>
      </w:tr>
    </w:tbl>
    <w:p>
      <w:pPr>
        <w:spacing w:after="60"/>
      </w:pPr>
    </w:p>
    <w:p>
      <w:pPr>
        <w:pBdr>
          <w:bottom w:val="single" w:color="205493" w:sz="2" w:space="1"/>
        </w:pBdr>
        <w:spacing w:after="80" w:before="200"/>
      </w:pPr>
      <w:r>
        <w:rPr>
          <w:rFonts w:ascii="Arial" w:cs="Arial" w:eastAsia="Arial" w:hAnsi="Arial"/>
          <w:b/>
          <w:bCs/>
          <w:color w:val="112E51"/>
          <w:sz w:val="24"/>
          <w:szCs w:val="24"/>
        </w:rPr>
        <w:t xml:space="preserve">Foreign Economic Policy</w:t>
      </w:r>
      <w:r>
        <w:rPr>
          <w:rFonts w:ascii="Arial" w:cs="Arial" w:eastAsia="Arial" w:hAnsi="Arial"/>
          <w:color w:val="71767A"/>
          <w:sz w:val="20"/>
          <w:szCs w:val="20"/>
        </w:rPr>
        <w:t xml:space="preserve">  (179 subjects, 6,883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c>
          <w:tcPr>
            <w:tcW w:type="dxa" w:w="6560"/>
            <w:tcBorders>
              <w:top w:val="single" w:color="CCCCCC" w:sz="1"/>
              <w:left w:val="single" w:color="CCCCCC" w:sz="1"/>
              <w:bottom w:val="single" w:color="CCCCCC" w:sz="1"/>
              <w:right w:val="single" w:color="CCCCCC" w:sz="1"/>
            </w:tcBorders>
            <w:shd w:fill="112E51" w:val="clear"/>
            <w:tcMar>
              <w:top w:type="dxa" w:w="60"/>
              <w:left w:type="dxa" w:w="100"/>
              <w:bottom w:type="dxa" w:w="60"/>
              <w:right w:type="dxa" w:w="100"/>
            </w:tcMar>
          </w:tcPr>
          <w:p>
            <w:r>
              <w:rPr>
                <w:rFonts w:ascii="Arial" w:cs="Arial" w:eastAsia="Arial" w:hAnsi="Arial"/>
                <w:b/>
                <w:bCs/>
                <w:color w:val="FFFFFF"/>
                <w:sz w:val="20"/>
                <w:szCs w:val="20"/>
              </w:rPr>
              <w:t xml:space="preserve">Subcategory</w:t>
            </w:r>
          </w:p>
        </w:tc>
        <w:tc>
          <w:tcPr>
            <w:tcW w:type="dxa" w:w="2800"/>
            <w:tcBorders>
              <w:top w:val="single" w:color="CCCCCC" w:sz="1"/>
              <w:left w:val="single" w:color="CCCCCC" w:sz="1"/>
              <w:bottom w:val="single" w:color="CCCCCC" w:sz="1"/>
              <w:right w:val="single" w:color="CCCCCC" w:sz="1"/>
            </w:tcBorders>
            <w:shd w:fill="112E51" w:val="clear"/>
            <w:tcMar>
              <w:top w:type="dxa" w:w="60"/>
              <w:left w:type="dxa" w:w="100"/>
              <w:bottom w:type="dxa" w:w="60"/>
              <w:right w:type="dxa" w:w="100"/>
            </w:tcMar>
          </w:tcPr>
          <w:p>
            <w:r>
              <w:rPr>
                <w:rFonts w:ascii="Arial" w:cs="Arial" w:eastAsia="Arial" w:hAnsi="Arial"/>
                <w:b/>
                <w:bCs/>
                <w:color w:val="FFFFFF"/>
                <w:sz w:val="20"/>
                <w:szCs w:val="20"/>
              </w:rPr>
              <w:t xml:space="preserve">Subjects</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Trade and Commercial Policy/Agreements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35</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Energy and Natural Resources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44</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25</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Agriculture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24</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Financial and Monetary Policy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19</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Foreign Aid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11</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Foreign Investment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10</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Labor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5</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Economic Sanctions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3</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New International Economic Order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3</w:t>
            </w:r>
          </w:p>
        </w:tc>
      </w:tr>
    </w:tbl>
    <w:p>
      <w:pPr>
        <w:spacing w:after="60"/>
      </w:pPr>
    </w:p>
    <w:p>
      <w:pPr>
        <w:pBdr>
          <w:bottom w:val="single" w:color="205493" w:sz="2" w:space="1"/>
        </w:pBdr>
        <w:spacing w:after="80" w:before="200"/>
      </w:pPr>
      <w:r>
        <w:rPr>
          <w:rFonts w:ascii="Arial" w:cs="Arial" w:eastAsia="Arial" w:hAnsi="Arial"/>
          <w:b/>
          <w:bCs/>
          <w:color w:val="112E51"/>
          <w:sz w:val="24"/>
          <w:szCs w:val="24"/>
        </w:rPr>
        <w:t xml:space="preserve">Bilateral Relations</w:t>
      </w:r>
      <w:r>
        <w:rPr>
          <w:rFonts w:ascii="Arial" w:cs="Arial" w:eastAsia="Arial" w:hAnsi="Arial"/>
          <w:color w:val="71767A"/>
          <w:sz w:val="20"/>
          <w:szCs w:val="20"/>
        </w:rPr>
        <w:t xml:space="preserve">  (54 subjects, 5,713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c>
          <w:tcPr>
            <w:tcW w:type="dxa" w:w="6560"/>
            <w:tcBorders>
              <w:top w:val="single" w:color="CCCCCC" w:sz="1"/>
              <w:left w:val="single" w:color="CCCCCC" w:sz="1"/>
              <w:bottom w:val="single" w:color="CCCCCC" w:sz="1"/>
              <w:right w:val="single" w:color="CCCCCC" w:sz="1"/>
            </w:tcBorders>
            <w:shd w:fill="112E51" w:val="clear"/>
            <w:tcMar>
              <w:top w:type="dxa" w:w="60"/>
              <w:left w:type="dxa" w:w="100"/>
              <w:bottom w:type="dxa" w:w="60"/>
              <w:right w:type="dxa" w:w="100"/>
            </w:tcMar>
          </w:tcPr>
          <w:p>
            <w:r>
              <w:rPr>
                <w:rFonts w:ascii="Arial" w:cs="Arial" w:eastAsia="Arial" w:hAnsi="Arial"/>
                <w:b/>
                <w:bCs/>
                <w:color w:val="FFFFFF"/>
                <w:sz w:val="20"/>
                <w:szCs w:val="20"/>
              </w:rPr>
              <w:t xml:space="preserve">Subcategory</w:t>
            </w:r>
          </w:p>
        </w:tc>
        <w:tc>
          <w:tcPr>
            <w:tcW w:type="dxa" w:w="2800"/>
            <w:tcBorders>
              <w:top w:val="single" w:color="CCCCCC" w:sz="1"/>
              <w:left w:val="single" w:color="CCCCCC" w:sz="1"/>
              <w:bottom w:val="single" w:color="CCCCCC" w:sz="1"/>
              <w:right w:val="single" w:color="CCCCCC" w:sz="1"/>
            </w:tcBorders>
            <w:shd w:fill="112E51" w:val="clear"/>
            <w:tcMar>
              <w:top w:type="dxa" w:w="60"/>
              <w:left w:type="dxa" w:w="100"/>
              <w:bottom w:type="dxa" w:w="60"/>
              <w:right w:type="dxa" w:w="100"/>
            </w:tcMar>
          </w:tcPr>
          <w:p>
            <w:r>
              <w:rPr>
                <w:rFonts w:ascii="Arial" w:cs="Arial" w:eastAsia="Arial" w:hAnsi="Arial"/>
                <w:b/>
                <w:bCs/>
                <w:color w:val="FFFFFF"/>
                <w:sz w:val="20"/>
                <w:szCs w:val="20"/>
              </w:rPr>
              <w:t xml:space="preserve">Subjects</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Middle East and North African Relations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13</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Western Hemisphere Relations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11</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11</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U.S.-Soviet/Russian Relations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10</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NATO and European Relations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5</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East Asian Relations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3</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South Asian Relations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w:t>
            </w:r>
          </w:p>
        </w:tc>
      </w:tr>
    </w:tbl>
    <w:p>
      <w:pPr>
        <w:spacing w:after="60"/>
      </w:pPr>
    </w:p>
    <w:p>
      <w:pPr>
        <w:pBdr>
          <w:bottom w:val="single" w:color="205493" w:sz="2" w:space="1"/>
        </w:pBdr>
        <w:spacing w:after="80" w:before="200"/>
      </w:pPr>
      <w:r>
        <w:rPr>
          <w:rFonts w:ascii="Arial" w:cs="Arial" w:eastAsia="Arial" w:hAnsi="Arial"/>
          <w:b/>
          <w:bCs/>
          <w:color w:val="112E51"/>
          <w:sz w:val="24"/>
          <w:szCs w:val="24"/>
        </w:rPr>
        <w:t xml:space="preserve">Human Rights</w:t>
      </w:r>
      <w:r>
        <w:rPr>
          <w:rFonts w:ascii="Arial" w:cs="Arial" w:eastAsia="Arial" w:hAnsi="Arial"/>
          <w:color w:val="71767A"/>
          <w:sz w:val="20"/>
          <w:szCs w:val="20"/>
        </w:rPr>
        <w:t xml:space="preserve">  (58 subjects, 5,342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c>
          <w:tcPr>
            <w:tcW w:type="dxa" w:w="6560"/>
            <w:tcBorders>
              <w:top w:val="single" w:color="CCCCCC" w:sz="1"/>
              <w:left w:val="single" w:color="CCCCCC" w:sz="1"/>
              <w:bottom w:val="single" w:color="CCCCCC" w:sz="1"/>
              <w:right w:val="single" w:color="CCCCCC" w:sz="1"/>
            </w:tcBorders>
            <w:shd w:fill="112E51" w:val="clear"/>
            <w:tcMar>
              <w:top w:type="dxa" w:w="60"/>
              <w:left w:type="dxa" w:w="100"/>
              <w:bottom w:type="dxa" w:w="60"/>
              <w:right w:type="dxa" w:w="100"/>
            </w:tcMar>
          </w:tcPr>
          <w:p>
            <w:r>
              <w:rPr>
                <w:rFonts w:ascii="Arial" w:cs="Arial" w:eastAsia="Arial" w:hAnsi="Arial"/>
                <w:b/>
                <w:bCs/>
                <w:color w:val="FFFFFF"/>
                <w:sz w:val="20"/>
                <w:szCs w:val="20"/>
              </w:rPr>
              <w:t xml:space="preserve">Subcategory</w:t>
            </w:r>
          </w:p>
        </w:tc>
        <w:tc>
          <w:tcPr>
            <w:tcW w:type="dxa" w:w="2800"/>
            <w:tcBorders>
              <w:top w:val="single" w:color="CCCCCC" w:sz="1"/>
              <w:left w:val="single" w:color="CCCCCC" w:sz="1"/>
              <w:bottom w:val="single" w:color="CCCCCC" w:sz="1"/>
              <w:right w:val="single" w:color="CCCCCC" w:sz="1"/>
            </w:tcBorders>
            <w:shd w:fill="112E51" w:val="clear"/>
            <w:tcMar>
              <w:top w:type="dxa" w:w="60"/>
              <w:left w:type="dxa" w:w="100"/>
              <w:bottom w:type="dxa" w:w="60"/>
              <w:right w:type="dxa" w:w="100"/>
            </w:tcMar>
          </w:tcPr>
          <w:p>
            <w:r>
              <w:rPr>
                <w:rFonts w:ascii="Arial" w:cs="Arial" w:eastAsia="Arial" w:hAnsi="Arial"/>
                <w:b/>
                <w:bCs/>
                <w:color w:val="FFFFFF"/>
                <w:sz w:val="20"/>
                <w:szCs w:val="20"/>
              </w:rPr>
              <w:t xml:space="preserve">Subjects</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22</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Refugees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11</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Political Prisoners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9</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Religious Freedom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7</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HIV/AIDS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3</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Antisemitism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2</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Asylum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2</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Civil Rights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Genocide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w:t>
            </w:r>
          </w:p>
        </w:tc>
      </w:tr>
    </w:tbl>
    <w:p>
      <w:pPr>
        <w:spacing w:after="60"/>
      </w:pPr>
    </w:p>
    <w:p>
      <w:pPr>
        <w:pBdr>
          <w:bottom w:val="single" w:color="205493" w:sz="2" w:space="1"/>
        </w:pBdr>
        <w:spacing w:after="80" w:before="200"/>
      </w:pPr>
      <w:r>
        <w:rPr>
          <w:rFonts w:ascii="Arial" w:cs="Arial" w:eastAsia="Arial" w:hAnsi="Arial"/>
          <w:b/>
          <w:bCs/>
          <w:color w:val="112E51"/>
          <w:sz w:val="24"/>
          <w:szCs w:val="24"/>
        </w:rPr>
        <w:t xml:space="preserve">Politico-Military Issues</w:t>
      </w:r>
      <w:r>
        <w:rPr>
          <w:rFonts w:ascii="Arial" w:cs="Arial" w:eastAsia="Arial" w:hAnsi="Arial"/>
          <w:color w:val="71767A"/>
          <w:sz w:val="20"/>
          <w:szCs w:val="20"/>
        </w:rPr>
        <w:t xml:space="preserve">  (133 subjects, 4,818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c>
          <w:tcPr>
            <w:tcW w:type="dxa" w:w="6560"/>
            <w:tcBorders>
              <w:top w:val="single" w:color="CCCCCC" w:sz="1"/>
              <w:left w:val="single" w:color="CCCCCC" w:sz="1"/>
              <w:bottom w:val="single" w:color="CCCCCC" w:sz="1"/>
              <w:right w:val="single" w:color="CCCCCC" w:sz="1"/>
            </w:tcBorders>
            <w:shd w:fill="112E51" w:val="clear"/>
            <w:tcMar>
              <w:top w:type="dxa" w:w="60"/>
              <w:left w:type="dxa" w:w="100"/>
              <w:bottom w:type="dxa" w:w="60"/>
              <w:right w:type="dxa" w:w="100"/>
            </w:tcMar>
          </w:tcPr>
          <w:p>
            <w:r>
              <w:rPr>
                <w:rFonts w:ascii="Arial" w:cs="Arial" w:eastAsia="Arial" w:hAnsi="Arial"/>
                <w:b/>
                <w:bCs/>
                <w:color w:val="FFFFFF"/>
                <w:sz w:val="20"/>
                <w:szCs w:val="20"/>
              </w:rPr>
              <w:t xml:space="preserve">Subcategory</w:t>
            </w:r>
          </w:p>
        </w:tc>
        <w:tc>
          <w:tcPr>
            <w:tcW w:type="dxa" w:w="2800"/>
            <w:tcBorders>
              <w:top w:val="single" w:color="CCCCCC" w:sz="1"/>
              <w:left w:val="single" w:color="CCCCCC" w:sz="1"/>
              <w:bottom w:val="single" w:color="CCCCCC" w:sz="1"/>
              <w:right w:val="single" w:color="CCCCCC" w:sz="1"/>
            </w:tcBorders>
            <w:shd w:fill="112E51" w:val="clear"/>
            <w:tcMar>
              <w:top w:type="dxa" w:w="60"/>
              <w:left w:type="dxa" w:w="100"/>
              <w:bottom w:type="dxa" w:w="60"/>
              <w:right w:type="dxa" w:w="100"/>
            </w:tcMar>
          </w:tcPr>
          <w:p>
            <w:r>
              <w:rPr>
                <w:rFonts w:ascii="Arial" w:cs="Arial" w:eastAsia="Arial" w:hAnsi="Arial"/>
                <w:b/>
                <w:bCs/>
                <w:color w:val="FFFFFF"/>
                <w:sz w:val="20"/>
                <w:szCs w:val="20"/>
              </w:rPr>
              <w:t xml:space="preserve">Subjects</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104</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Terrorism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8</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Military Intervention, Presence and Withdrawal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7</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Covert Action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5</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Alliances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3</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Military Bases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3</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Quarantine (Blockade)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2</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Diplomatic Recognition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w:t>
            </w:r>
          </w:p>
        </w:tc>
      </w:tr>
    </w:tbl>
    <w:p>
      <w:pPr>
        <w:spacing w:after="60"/>
      </w:pPr>
    </w:p>
    <w:p>
      <w:pPr>
        <w:pBdr>
          <w:bottom w:val="single" w:color="205493" w:sz="2" w:space="1"/>
        </w:pBdr>
        <w:spacing w:after="80" w:before="200"/>
      </w:pPr>
      <w:r>
        <w:rPr>
          <w:rFonts w:ascii="Arial" w:cs="Arial" w:eastAsia="Arial" w:hAnsi="Arial"/>
          <w:b/>
          <w:bCs/>
          <w:color w:val="112E51"/>
          <w:sz w:val="24"/>
          <w:szCs w:val="24"/>
        </w:rPr>
        <w:t xml:space="preserve">Global Issues</w:t>
      </w:r>
      <w:r>
        <w:rPr>
          <w:rFonts w:ascii="Arial" w:cs="Arial" w:eastAsia="Arial" w:hAnsi="Arial"/>
          <w:color w:val="71767A"/>
          <w:sz w:val="20"/>
          <w:szCs w:val="20"/>
        </w:rPr>
        <w:t xml:space="preserve">  (105 subjects, 4,230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c>
          <w:tcPr>
            <w:tcW w:type="dxa" w:w="6560"/>
            <w:tcBorders>
              <w:top w:val="single" w:color="CCCCCC" w:sz="1"/>
              <w:left w:val="single" w:color="CCCCCC" w:sz="1"/>
              <w:bottom w:val="single" w:color="CCCCCC" w:sz="1"/>
              <w:right w:val="single" w:color="CCCCCC" w:sz="1"/>
            </w:tcBorders>
            <w:shd w:fill="112E51" w:val="clear"/>
            <w:tcMar>
              <w:top w:type="dxa" w:w="60"/>
              <w:left w:type="dxa" w:w="100"/>
              <w:bottom w:type="dxa" w:w="60"/>
              <w:right w:type="dxa" w:w="100"/>
            </w:tcMar>
          </w:tcPr>
          <w:p>
            <w:r>
              <w:rPr>
                <w:rFonts w:ascii="Arial" w:cs="Arial" w:eastAsia="Arial" w:hAnsi="Arial"/>
                <w:b/>
                <w:bCs/>
                <w:color w:val="FFFFFF"/>
                <w:sz w:val="20"/>
                <w:szCs w:val="20"/>
              </w:rPr>
              <w:t xml:space="preserve">Subcategory</w:t>
            </w:r>
          </w:p>
        </w:tc>
        <w:tc>
          <w:tcPr>
            <w:tcW w:type="dxa" w:w="2800"/>
            <w:tcBorders>
              <w:top w:val="single" w:color="CCCCCC" w:sz="1"/>
              <w:left w:val="single" w:color="CCCCCC" w:sz="1"/>
              <w:bottom w:val="single" w:color="CCCCCC" w:sz="1"/>
              <w:right w:val="single" w:color="CCCCCC" w:sz="1"/>
            </w:tcBorders>
            <w:shd w:fill="112E51" w:val="clear"/>
            <w:tcMar>
              <w:top w:type="dxa" w:w="60"/>
              <w:left w:type="dxa" w:w="100"/>
              <w:bottom w:type="dxa" w:w="60"/>
              <w:right w:type="dxa" w:w="100"/>
            </w:tcMar>
          </w:tcPr>
          <w:p>
            <w:r>
              <w:rPr>
                <w:rFonts w:ascii="Arial" w:cs="Arial" w:eastAsia="Arial" w:hAnsi="Arial"/>
                <w:b/>
                <w:bCs/>
                <w:color w:val="FFFFFF"/>
                <w:sz w:val="20"/>
                <w:szCs w:val="20"/>
              </w:rPr>
              <w:t xml:space="preserve">Subjects</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Public Health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23</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21</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Immigration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10</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Narcotics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10</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Population Demographics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9</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Elections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7</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Air Safety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6</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Border Administration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5</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Self-Determination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5</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Peace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4</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Outer Space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2</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Decolonization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2</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Polar Affairs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w:t>
            </w:r>
          </w:p>
        </w:tc>
      </w:tr>
    </w:tbl>
    <w:p>
      <w:pPr>
        <w:spacing w:after="60"/>
      </w:pPr>
    </w:p>
    <w:p>
      <w:pPr>
        <w:pBdr>
          <w:bottom w:val="single" w:color="205493" w:sz="2" w:space="1"/>
        </w:pBdr>
        <w:spacing w:after="80" w:before="200"/>
      </w:pPr>
      <w:r>
        <w:rPr>
          <w:rFonts w:ascii="Arial" w:cs="Arial" w:eastAsia="Arial" w:hAnsi="Arial"/>
          <w:b/>
          <w:bCs/>
          <w:color w:val="112E51"/>
          <w:sz w:val="24"/>
          <w:szCs w:val="24"/>
        </w:rPr>
        <w:t xml:space="preserve">International Law</w:t>
      </w:r>
      <w:r>
        <w:rPr>
          <w:rFonts w:ascii="Arial" w:cs="Arial" w:eastAsia="Arial" w:hAnsi="Arial"/>
          <w:color w:val="71767A"/>
          <w:sz w:val="20"/>
          <w:szCs w:val="20"/>
        </w:rPr>
        <w:t xml:space="preserve">  (51 subjects, 3,001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c>
          <w:tcPr>
            <w:tcW w:type="dxa" w:w="6560"/>
            <w:tcBorders>
              <w:top w:val="single" w:color="CCCCCC" w:sz="1"/>
              <w:left w:val="single" w:color="CCCCCC" w:sz="1"/>
              <w:bottom w:val="single" w:color="CCCCCC" w:sz="1"/>
              <w:right w:val="single" w:color="CCCCCC" w:sz="1"/>
            </w:tcBorders>
            <w:shd w:fill="112E51" w:val="clear"/>
            <w:tcMar>
              <w:top w:type="dxa" w:w="60"/>
              <w:left w:type="dxa" w:w="100"/>
              <w:bottom w:type="dxa" w:w="60"/>
              <w:right w:type="dxa" w:w="100"/>
            </w:tcMar>
          </w:tcPr>
          <w:p>
            <w:r>
              <w:rPr>
                <w:rFonts w:ascii="Arial" w:cs="Arial" w:eastAsia="Arial" w:hAnsi="Arial"/>
                <w:b/>
                <w:bCs/>
                <w:color w:val="FFFFFF"/>
                <w:sz w:val="20"/>
                <w:szCs w:val="20"/>
              </w:rPr>
              <w:t xml:space="preserve">Subcategory</w:t>
            </w:r>
          </w:p>
        </w:tc>
        <w:tc>
          <w:tcPr>
            <w:tcW w:type="dxa" w:w="2800"/>
            <w:tcBorders>
              <w:top w:val="single" w:color="CCCCCC" w:sz="1"/>
              <w:left w:val="single" w:color="CCCCCC" w:sz="1"/>
              <w:bottom w:val="single" w:color="CCCCCC" w:sz="1"/>
              <w:right w:val="single" w:color="CCCCCC" w:sz="1"/>
            </w:tcBorders>
            <w:shd w:fill="112E51" w:val="clear"/>
            <w:tcMar>
              <w:top w:type="dxa" w:w="60"/>
              <w:left w:type="dxa" w:w="100"/>
              <w:bottom w:type="dxa" w:w="60"/>
              <w:right w:type="dxa" w:w="100"/>
            </w:tcMar>
          </w:tcPr>
          <w:p>
            <w:r>
              <w:rPr>
                <w:rFonts w:ascii="Arial" w:cs="Arial" w:eastAsia="Arial" w:hAnsi="Arial"/>
                <w:b/>
                <w:bCs/>
                <w:color w:val="FFFFFF"/>
                <w:sz w:val="20"/>
                <w:szCs w:val="20"/>
              </w:rPr>
              <w:t xml:space="preserve">Subjects</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Law of the Sea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26</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21</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Property Claims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3</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Foreign Protest against U.S. Activity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w:t>
            </w:r>
          </w:p>
        </w:tc>
      </w:tr>
    </w:tbl>
    <w:p>
      <w:pPr>
        <w:spacing w:after="60"/>
      </w:pPr>
    </w:p>
    <w:p>
      <w:pPr>
        <w:pBdr>
          <w:bottom w:val="single" w:color="205493" w:sz="2" w:space="1"/>
        </w:pBdr>
        <w:spacing w:after="80" w:before="200"/>
      </w:pPr>
      <w:r>
        <w:rPr>
          <w:rFonts w:ascii="Arial" w:cs="Arial" w:eastAsia="Arial" w:hAnsi="Arial"/>
          <w:b/>
          <w:bCs/>
          <w:color w:val="112E51"/>
          <w:sz w:val="24"/>
          <w:szCs w:val="24"/>
        </w:rPr>
        <w:t xml:space="preserve">Science and Technology</w:t>
      </w:r>
      <w:r>
        <w:rPr>
          <w:rFonts w:ascii="Arial" w:cs="Arial" w:eastAsia="Arial" w:hAnsi="Arial"/>
          <w:color w:val="71767A"/>
          <w:sz w:val="20"/>
          <w:szCs w:val="20"/>
        </w:rPr>
        <w:t xml:space="preserve">  (43 subjects, 2,359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c>
          <w:tcPr>
            <w:tcW w:type="dxa" w:w="6560"/>
            <w:tcBorders>
              <w:top w:val="single" w:color="CCCCCC" w:sz="1"/>
              <w:left w:val="single" w:color="CCCCCC" w:sz="1"/>
              <w:bottom w:val="single" w:color="CCCCCC" w:sz="1"/>
              <w:right w:val="single" w:color="CCCCCC" w:sz="1"/>
            </w:tcBorders>
            <w:shd w:fill="112E51" w:val="clear"/>
            <w:tcMar>
              <w:top w:type="dxa" w:w="60"/>
              <w:left w:type="dxa" w:w="100"/>
              <w:bottom w:type="dxa" w:w="60"/>
              <w:right w:type="dxa" w:w="100"/>
            </w:tcMar>
          </w:tcPr>
          <w:p>
            <w:r>
              <w:rPr>
                <w:rFonts w:ascii="Arial" w:cs="Arial" w:eastAsia="Arial" w:hAnsi="Arial"/>
                <w:b/>
                <w:bCs/>
                <w:color w:val="FFFFFF"/>
                <w:sz w:val="20"/>
                <w:szCs w:val="20"/>
              </w:rPr>
              <w:t xml:space="preserve">Subcategory</w:t>
            </w:r>
          </w:p>
        </w:tc>
        <w:tc>
          <w:tcPr>
            <w:tcW w:type="dxa" w:w="2800"/>
            <w:tcBorders>
              <w:top w:val="single" w:color="CCCCCC" w:sz="1"/>
              <w:left w:val="single" w:color="CCCCCC" w:sz="1"/>
              <w:bottom w:val="single" w:color="CCCCCC" w:sz="1"/>
              <w:right w:val="single" w:color="CCCCCC" w:sz="1"/>
            </w:tcBorders>
            <w:shd w:fill="112E51" w:val="clear"/>
            <w:tcMar>
              <w:top w:type="dxa" w:w="60"/>
              <w:left w:type="dxa" w:w="100"/>
              <w:bottom w:type="dxa" w:w="60"/>
              <w:right w:type="dxa" w:w="100"/>
            </w:tcMar>
          </w:tcPr>
          <w:p>
            <w:r>
              <w:rPr>
                <w:rFonts w:ascii="Arial" w:cs="Arial" w:eastAsia="Arial" w:hAnsi="Arial"/>
                <w:b/>
                <w:bCs/>
                <w:color w:val="FFFFFF"/>
                <w:sz w:val="20"/>
                <w:szCs w:val="20"/>
              </w:rPr>
              <w:t xml:space="preserve">Subjects</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31</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Atomic Energy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12</w:t>
            </w:r>
          </w:p>
        </w:tc>
      </w:tr>
    </w:tbl>
    <w:p>
      <w:pPr>
        <w:spacing w:after="60"/>
      </w:pPr>
    </w:p>
    <w:p>
      <w:pPr>
        <w:pBdr>
          <w:bottom w:val="single" w:color="205493" w:sz="2" w:space="1"/>
        </w:pBdr>
        <w:spacing w:after="80" w:before="200"/>
      </w:pPr>
      <w:r>
        <w:rPr>
          <w:rFonts w:ascii="Arial" w:cs="Arial" w:eastAsia="Arial" w:hAnsi="Arial"/>
          <w:b/>
          <w:bCs/>
          <w:color w:val="112E51"/>
          <w:sz w:val="24"/>
          <w:szCs w:val="24"/>
        </w:rPr>
        <w:t xml:space="preserve">Information Programs</w:t>
      </w:r>
      <w:r>
        <w:rPr>
          <w:rFonts w:ascii="Arial" w:cs="Arial" w:eastAsia="Arial" w:hAnsi="Arial"/>
          <w:color w:val="71767A"/>
          <w:sz w:val="20"/>
          <w:szCs w:val="20"/>
        </w:rPr>
        <w:t xml:space="preserve">  (26 subjects, 844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c>
          <w:tcPr>
            <w:tcW w:type="dxa" w:w="6560"/>
            <w:tcBorders>
              <w:top w:val="single" w:color="CCCCCC" w:sz="1"/>
              <w:left w:val="single" w:color="CCCCCC" w:sz="1"/>
              <w:bottom w:val="single" w:color="CCCCCC" w:sz="1"/>
              <w:right w:val="single" w:color="CCCCCC" w:sz="1"/>
            </w:tcBorders>
            <w:shd w:fill="112E51" w:val="clear"/>
            <w:tcMar>
              <w:top w:type="dxa" w:w="60"/>
              <w:left w:type="dxa" w:w="100"/>
              <w:bottom w:type="dxa" w:w="60"/>
              <w:right w:type="dxa" w:w="100"/>
            </w:tcMar>
          </w:tcPr>
          <w:p>
            <w:r>
              <w:rPr>
                <w:rFonts w:ascii="Arial" w:cs="Arial" w:eastAsia="Arial" w:hAnsi="Arial"/>
                <w:b/>
                <w:bCs/>
                <w:color w:val="FFFFFF"/>
                <w:sz w:val="20"/>
                <w:szCs w:val="20"/>
              </w:rPr>
              <w:t xml:space="preserve">Subcategory</w:t>
            </w:r>
          </w:p>
        </w:tc>
        <w:tc>
          <w:tcPr>
            <w:tcW w:type="dxa" w:w="2800"/>
            <w:tcBorders>
              <w:top w:val="single" w:color="CCCCCC" w:sz="1"/>
              <w:left w:val="single" w:color="CCCCCC" w:sz="1"/>
              <w:bottom w:val="single" w:color="CCCCCC" w:sz="1"/>
              <w:right w:val="single" w:color="CCCCCC" w:sz="1"/>
            </w:tcBorders>
            <w:shd w:fill="112E51" w:val="clear"/>
            <w:tcMar>
              <w:top w:type="dxa" w:w="60"/>
              <w:left w:type="dxa" w:w="100"/>
              <w:bottom w:type="dxa" w:w="60"/>
              <w:right w:type="dxa" w:w="100"/>
            </w:tcMar>
          </w:tcPr>
          <w:p>
            <w:r>
              <w:rPr>
                <w:rFonts w:ascii="Arial" w:cs="Arial" w:eastAsia="Arial" w:hAnsi="Arial"/>
                <w:b/>
                <w:bCs/>
                <w:color w:val="FFFFFF"/>
                <w:sz w:val="20"/>
                <w:szCs w:val="20"/>
              </w:rPr>
              <w:t xml:space="preserve">Subjects</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26</w:t>
            </w:r>
          </w:p>
        </w:tc>
      </w:tr>
    </w:tbl>
    <w:p>
      <w:pPr>
        <w:spacing w:after="60"/>
      </w:pPr>
    </w:p>
    <w:p>
      <w:pPr>
        <w:pBdr>
          <w:bottom w:val="single" w:color="205493" w:sz="2" w:space="1"/>
        </w:pBdr>
        <w:spacing w:after="80" w:before="200"/>
      </w:pPr>
      <w:r>
        <w:rPr>
          <w:rFonts w:ascii="Arial" w:cs="Arial" w:eastAsia="Arial" w:hAnsi="Arial"/>
          <w:b/>
          <w:bCs/>
          <w:color w:val="112E51"/>
          <w:sz w:val="24"/>
          <w:szCs w:val="24"/>
        </w:rPr>
        <w:t xml:space="preserve">Department of State</w:t>
      </w:r>
      <w:r>
        <w:rPr>
          <w:rFonts w:ascii="Arial" w:cs="Arial" w:eastAsia="Arial" w:hAnsi="Arial"/>
          <w:color w:val="71767A"/>
          <w:sz w:val="20"/>
          <w:szCs w:val="20"/>
        </w:rPr>
        <w:t xml:space="preserve">  (13 subjects, 600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c>
          <w:tcPr>
            <w:tcW w:type="dxa" w:w="6560"/>
            <w:tcBorders>
              <w:top w:val="single" w:color="CCCCCC" w:sz="1"/>
              <w:left w:val="single" w:color="CCCCCC" w:sz="1"/>
              <w:bottom w:val="single" w:color="CCCCCC" w:sz="1"/>
              <w:right w:val="single" w:color="CCCCCC" w:sz="1"/>
            </w:tcBorders>
            <w:shd w:fill="112E51" w:val="clear"/>
            <w:tcMar>
              <w:top w:type="dxa" w:w="60"/>
              <w:left w:type="dxa" w:w="100"/>
              <w:bottom w:type="dxa" w:w="60"/>
              <w:right w:type="dxa" w:w="100"/>
            </w:tcMar>
          </w:tcPr>
          <w:p>
            <w:r>
              <w:rPr>
                <w:rFonts w:ascii="Arial" w:cs="Arial" w:eastAsia="Arial" w:hAnsi="Arial"/>
                <w:b/>
                <w:bCs/>
                <w:color w:val="FFFFFF"/>
                <w:sz w:val="20"/>
                <w:szCs w:val="20"/>
              </w:rPr>
              <w:t xml:space="preserve">Subcategory</w:t>
            </w:r>
          </w:p>
        </w:tc>
        <w:tc>
          <w:tcPr>
            <w:tcW w:type="dxa" w:w="2800"/>
            <w:tcBorders>
              <w:top w:val="single" w:color="CCCCCC" w:sz="1"/>
              <w:left w:val="single" w:color="CCCCCC" w:sz="1"/>
              <w:bottom w:val="single" w:color="CCCCCC" w:sz="1"/>
              <w:right w:val="single" w:color="CCCCCC" w:sz="1"/>
            </w:tcBorders>
            <w:shd w:fill="112E51" w:val="clear"/>
            <w:tcMar>
              <w:top w:type="dxa" w:w="60"/>
              <w:left w:type="dxa" w:w="100"/>
              <w:bottom w:type="dxa" w:w="60"/>
              <w:right w:type="dxa" w:w="100"/>
            </w:tcMar>
          </w:tcPr>
          <w:p>
            <w:r>
              <w:rPr>
                <w:rFonts w:ascii="Arial" w:cs="Arial" w:eastAsia="Arial" w:hAnsi="Arial"/>
                <w:b/>
                <w:bCs/>
                <w:color w:val="FFFFFF"/>
                <w:sz w:val="20"/>
                <w:szCs w:val="20"/>
              </w:rPr>
              <w:t xml:space="preserve">Subjects</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5</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Organization and Management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3</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Protocol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Personnel: Foreign Service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Congressional Relations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Buildings: Foreign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Personnel: Civil Service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w:t>
            </w:r>
          </w:p>
        </w:tc>
      </w:tr>
    </w:tbl>
    <w:p>
      <w:pPr>
        <w:spacing w:after="60"/>
      </w:pPr>
    </w:p>
    <w:p>
      <w:pPr>
        <w:pBdr>
          <w:bottom w:val="single" w:color="205493" w:sz="2" w:space="1"/>
        </w:pBdr>
        <w:spacing w:after="80" w:before="200"/>
      </w:pPr>
      <w:r>
        <w:rPr>
          <w:rFonts w:ascii="Arial" w:cs="Arial" w:eastAsia="Arial" w:hAnsi="Arial"/>
          <w:b/>
          <w:bCs/>
          <w:color w:val="112E51"/>
          <w:sz w:val="24"/>
          <w:szCs w:val="24"/>
        </w:rPr>
        <w:t xml:space="preserve">Warfare</w:t>
      </w:r>
      <w:r>
        <w:rPr>
          <w:rFonts w:ascii="Arial" w:cs="Arial" w:eastAsia="Arial" w:hAnsi="Arial"/>
          <w:color w:val="71767A"/>
          <w:sz w:val="20"/>
          <w:szCs w:val="20"/>
        </w:rPr>
        <w:t xml:space="preserve">  (25 subjects, 304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c>
          <w:tcPr>
            <w:tcW w:type="dxa" w:w="6560"/>
            <w:tcBorders>
              <w:top w:val="single" w:color="CCCCCC" w:sz="1"/>
              <w:left w:val="single" w:color="CCCCCC" w:sz="1"/>
              <w:bottom w:val="single" w:color="CCCCCC" w:sz="1"/>
              <w:right w:val="single" w:color="CCCCCC" w:sz="1"/>
            </w:tcBorders>
            <w:shd w:fill="112E51" w:val="clear"/>
            <w:tcMar>
              <w:top w:type="dxa" w:w="60"/>
              <w:left w:type="dxa" w:w="100"/>
              <w:bottom w:type="dxa" w:w="60"/>
              <w:right w:type="dxa" w:w="100"/>
            </w:tcMar>
          </w:tcPr>
          <w:p>
            <w:r>
              <w:rPr>
                <w:rFonts w:ascii="Arial" w:cs="Arial" w:eastAsia="Arial" w:hAnsi="Arial"/>
                <w:b/>
                <w:bCs/>
                <w:color w:val="FFFFFF"/>
                <w:sz w:val="20"/>
                <w:szCs w:val="20"/>
              </w:rPr>
              <w:t xml:space="preserve">Subcategory</w:t>
            </w:r>
          </w:p>
        </w:tc>
        <w:tc>
          <w:tcPr>
            <w:tcW w:type="dxa" w:w="2800"/>
            <w:tcBorders>
              <w:top w:val="single" w:color="CCCCCC" w:sz="1"/>
              <w:left w:val="single" w:color="CCCCCC" w:sz="1"/>
              <w:bottom w:val="single" w:color="CCCCCC" w:sz="1"/>
              <w:right w:val="single" w:color="CCCCCC" w:sz="1"/>
            </w:tcBorders>
            <w:shd w:fill="112E51" w:val="clear"/>
            <w:tcMar>
              <w:top w:type="dxa" w:w="60"/>
              <w:left w:type="dxa" w:w="100"/>
              <w:bottom w:type="dxa" w:w="60"/>
              <w:right w:type="dxa" w:w="100"/>
            </w:tcMar>
          </w:tcPr>
          <w:p>
            <w:r>
              <w:rPr>
                <w:rFonts w:ascii="Arial" w:cs="Arial" w:eastAsia="Arial" w:hAnsi="Arial"/>
                <w:b/>
                <w:bCs/>
                <w:color w:val="FFFFFF"/>
                <w:sz w:val="20"/>
                <w:szCs w:val="20"/>
              </w:rPr>
              <w:t xml:space="preserve">Subjects</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18</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Vietnam Conflict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3</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Arab-Israeli Dispute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Prisoners of War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Iraq War (2003)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Neutrality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w:t>
            </w:r>
          </w:p>
        </w:tc>
      </w:tr>
    </w:tbl>
    <w:p>
      <w:pPr>
        <w:spacing w:after="60"/>
      </w:pPr>
    </w:p>
    <w:p>
      <w:pPr>
        <w:pBdr>
          <w:bottom w:val="single" w:color="205493" w:sz="2" w:space="1"/>
        </w:pBdr>
        <w:spacing w:after="80" w:before="200"/>
      </w:pPr>
      <w:r>
        <w:rPr>
          <w:rFonts w:ascii="Arial" w:cs="Arial" w:eastAsia="Arial" w:hAnsi="Arial"/>
          <w:b/>
          <w:bCs/>
          <w:color w:val="112E51"/>
          <w:sz w:val="24"/>
          <w:szCs w:val="24"/>
        </w:rPr>
        <w:t xml:space="preserve">International Organizations</w:t>
      </w:r>
      <w:r>
        <w:rPr>
          <w:rFonts w:ascii="Arial" w:cs="Arial" w:eastAsia="Arial" w:hAnsi="Arial"/>
          <w:color w:val="71767A"/>
          <w:sz w:val="20"/>
          <w:szCs w:val="20"/>
        </w:rPr>
        <w:t xml:space="preserve">  (10 subjects, 208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c>
          <w:tcPr>
            <w:tcW w:type="dxa" w:w="6560"/>
            <w:tcBorders>
              <w:top w:val="single" w:color="CCCCCC" w:sz="1"/>
              <w:left w:val="single" w:color="CCCCCC" w:sz="1"/>
              <w:bottom w:val="single" w:color="CCCCCC" w:sz="1"/>
              <w:right w:val="single" w:color="CCCCCC" w:sz="1"/>
            </w:tcBorders>
            <w:shd w:fill="112E51" w:val="clear"/>
            <w:tcMar>
              <w:top w:type="dxa" w:w="60"/>
              <w:left w:type="dxa" w:w="100"/>
              <w:bottom w:type="dxa" w:w="60"/>
              <w:right w:type="dxa" w:w="100"/>
            </w:tcMar>
          </w:tcPr>
          <w:p>
            <w:r>
              <w:rPr>
                <w:rFonts w:ascii="Arial" w:cs="Arial" w:eastAsia="Arial" w:hAnsi="Arial"/>
                <w:b/>
                <w:bCs/>
                <w:color w:val="FFFFFF"/>
                <w:sz w:val="20"/>
                <w:szCs w:val="20"/>
              </w:rPr>
              <w:t xml:space="preserve">Subcategory</w:t>
            </w:r>
          </w:p>
        </w:tc>
        <w:tc>
          <w:tcPr>
            <w:tcW w:type="dxa" w:w="2800"/>
            <w:tcBorders>
              <w:top w:val="single" w:color="CCCCCC" w:sz="1"/>
              <w:left w:val="single" w:color="CCCCCC" w:sz="1"/>
              <w:bottom w:val="single" w:color="CCCCCC" w:sz="1"/>
              <w:right w:val="single" w:color="CCCCCC" w:sz="1"/>
            </w:tcBorders>
            <w:shd w:fill="112E51" w:val="clear"/>
            <w:tcMar>
              <w:top w:type="dxa" w:w="60"/>
              <w:left w:type="dxa" w:w="100"/>
              <w:bottom w:type="dxa" w:w="60"/>
              <w:right w:type="dxa" w:w="100"/>
            </w:tcMar>
          </w:tcPr>
          <w:p>
            <w:r>
              <w:rPr>
                <w:rFonts w:ascii="Arial" w:cs="Arial" w:eastAsia="Arial" w:hAnsi="Arial"/>
                <w:b/>
                <w:bCs/>
                <w:color w:val="FFFFFF"/>
                <w:sz w:val="20"/>
                <w:szCs w:val="20"/>
              </w:rPr>
              <w:t xml:space="preserve">Subjects</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3</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Organization of American States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2</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Non-governmental Organizations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2</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International Monetary Fund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General Agreement on Tariffs and Trade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North Atlantic Treaty Organization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w:t>
            </w:r>
          </w:p>
        </w:tc>
      </w:tr>
    </w:tbl>
    <w:p>
      <w:pPr>
        <w:spacing w:after="60"/>
      </w:pPr>
    </w:p>
    <w:p>
      <w:r>
        <w:br w:type="page"/>
      </w:r>
    </w:p>
    <w:p>
      <w:pPr>
        <w:pStyle w:val="Heading1"/>
      </w:pPr>
      <w:r>
        <w:t xml:space="preserve">Appendix B: Summary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112E51"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3360"/>
            <w:tcBorders>
              <w:top w:val="single" w:color="CCCCCC" w:sz="1"/>
              <w:left w:val="single" w:color="CCCCCC" w:sz="1"/>
              <w:bottom w:val="single" w:color="CCCCCC" w:sz="1"/>
              <w:right w:val="single" w:color="CCCCCC" w:sz="1"/>
            </w:tcBorders>
            <w:shd w:fill="112E51"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Raw subject terms (before dedup)</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1,412</w:t>
            </w:r>
          </w:p>
        </w:tc>
      </w:tr>
      <w:tr>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Subjects after deduplication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1,288</w:t>
            </w:r>
          </w:p>
        </w:tc>
      </w:tr>
      <w:tr>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Dedup merge groups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99</w:t>
            </w:r>
          </w:p>
        </w:tc>
      </w:tr>
      <w:tr>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Entries merged (secondary refs removed)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124</w:t>
            </w:r>
          </w:p>
        </w:tc>
      </w:tr>
      <w:tr>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LCSH exact matches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308</w:t>
            </w:r>
          </w:p>
        </w:tc>
      </w:tr>
      <w:tr>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LCSH good_close matches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134</w:t>
            </w:r>
          </w:p>
        </w:tc>
      </w:tr>
      <w:tr>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Subjects without LCSH match</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970</w:t>
            </w:r>
          </w:p>
        </w:tc>
      </w:tr>
      <w:tr>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document-level annotations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65,571</w:t>
            </w:r>
          </w:p>
        </w:tc>
      </w:tr>
      <w:tr>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FRUS volumes covered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14</w:t>
            </w:r>
          </w:p>
        </w:tc>
      </w:tr>
      <w:tr>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Individual documents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4,509</w:t>
            </w:r>
          </w:p>
        </w:tc>
      </w:tr>
      <w:tr>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Top-level categories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12</w:t>
            </w:r>
          </w:p>
        </w:tc>
      </w:tr>
      <w:tr>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Categorized subjects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864</w:t>
            </w:r>
          </w:p>
        </w:tc>
      </w:tr>
      <w:tr>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Uncategorized subjects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424</w:t>
            </w:r>
          </w:p>
        </w:tc>
      </w:tr>
      <w:tr>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Manual category overrides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314</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767A"/>
        <w:sz w:val="18"/>
        <w:szCs w:val="18"/>
      </w:rPr>
      <w:t xml:space="preserve">Page </w:t>
    </w:r>
    <w:r>
      <w:rPr>
        <w:rFonts w:ascii="Arial" w:cs="Arial" w:eastAsia="Arial" w:hAnsi="Arial"/>
        <w:color w:val="7176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1767A"/>
        <w:sz w:val="18"/>
        <w:szCs w:val="18"/>
      </w:rPr>
      <w:t xml:space="preserve">FRUS Subject Taxonomy: Process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12E51"/>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05493"/>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2026-03-16T22:01:12.900Z</dcterms:created>
  <dcterms:modified xsi:type="dcterms:W3CDTF">2026-03-16T22:01:12.901Z</dcterms:modified>
</cp:coreProperties>
</file>

<file path=docProps/custom.xml><?xml version="1.0" encoding="utf-8"?>
<Properties xmlns="http://schemas.openxmlformats.org/officeDocument/2006/custom-properties" xmlns:vt="http://schemas.openxmlformats.org/officeDocument/2006/docPropsVTypes"/>
</file>