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Gravitee EE 4.12</w:t>
      </w:r>
    </w:p>
    <w:p>
      <w:pPr>
        <w:pStyle w:val="Subtitle"/>
      </w:pPr>
      <w:r>
        <w:t>Agent Management: каталог AI-функций</w:t>
      </w:r>
    </w:p>
    <w:p>
      <w:pPr>
        <w:spacing w:after="120"/>
      </w:pPr>
      <w:r>
        <w:rPr>
          <w:rFonts w:ascii="Calibri" w:hAnsi="Calibri"/>
          <w:b/>
          <w:sz w:val="20"/>
        </w:rPr>
        <w:t>Модель продукта:</w:t>
      </w:r>
      <w:r>
        <w:rPr>
          <w:rFonts w:ascii="Calibri" w:hAnsi="Calibri"/>
          <w:b w:val="0"/>
          <w:sz w:val="20"/>
        </w:rPr>
        <w:t xml:space="preserve"> Catalog → LLM / MCP / A2A proxies → policies и authorization → observability и cost. Catalog хранит модели, tools, prompts, resources, knowledge, skills и agents; MCP Studio собирает из них управляемые наборы для агентов.</w:t>
      </w:r>
    </w:p>
    <w:p>
      <w:pPr>
        <w:spacing w:after="160"/>
      </w:pPr>
      <w:r>
        <w:rPr>
          <w:rFonts w:ascii="Calibri" w:hAnsi="Calibri"/>
          <w:b/>
          <w:color w:val="526471"/>
          <w:sz w:val="19"/>
        </w:rPr>
        <w:t>Статусы:</w:t>
      </w:r>
      <w:r>
        <w:rPr>
          <w:rFonts w:ascii="Calibri" w:hAnsi="Calibri"/>
          <w:b w:val="0"/>
          <w:color w:val="526471"/>
          <w:sz w:val="19"/>
        </w:rPr>
        <w:t xml:space="preserve"> «Доступно» — описано в документации ветки 4.12 по исходному отчёту, не гарантия для каждого patch. «Соседний модуль» — отдельная интеграция; Coming soon / Draft / hidden / Future — не production-обещание. Patch-границы и лицензии — на стр. 4; roadmap — на стр. 5.</w:t>
      </w:r>
    </w:p>
    <w:p>
      <w:pPr>
        <w:pStyle w:val="Heading2"/>
      </w:pPr>
      <w:r>
        <w:t>1. Catalog, контекст и инструменты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353"/>
        <w:gridCol w:w="7795"/>
      </w:tblGrid>
      <w:tr>
        <w:trPr>
          <w:tblHeader/>
        </w:trPr>
        <w:tc>
          <w:tcPr>
            <w:tcW w:type="dxa" w:w="235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Функция / статус в исходнике</w:t>
            </w:r>
          </w:p>
        </w:tc>
        <w:tc>
          <w:tcPr>
            <w:tcW w:type="dxa" w:w="779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Что делает, зачем нужна и какие есть ограничения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1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AI Model Catalog / AI Models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Запись о модели: provider, query name, family, context window, text/vision/reasoning/function-calling, цены input/output и metadata. Единый реестр позволяет повторно использовать модели в LLM Proxy. </w:t>
            </w:r>
            <w:r>
              <w:rPr>
                <w:rFonts w:ascii="Calibri" w:hAnsi="Calibri"/>
                <w:b/>
                <w:sz w:val="20"/>
              </w:rPr>
              <w:t>Важно:</w:t>
            </w:r>
            <w:r>
              <w:rPr>
                <w:rFonts w:ascii="Calibri" w:hAnsi="Calibri"/>
                <w:b w:val="0"/>
                <w:sz w:val="20"/>
              </w:rPr>
              <w:t xml:space="preserve"> credentials импорта не становятся runtime-credentials прокси.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2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Model integrations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Доступно; с 4.12.12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Импорт и re-sync metadata/capabilities/pricing из registry: OpenAI, Anthropic, Mistral, Gemini, DeepSeek, Groq, xAI, Together AI, Fireworks AI; Azure AI Foundry — live source. Remote provider registry и автосинхронизация описаны с </w:t>
            </w:r>
            <w:r>
              <w:rPr>
                <w:rFonts w:ascii="Calibri" w:hAnsi="Calibri"/>
                <w:b/>
                <w:sz w:val="20"/>
              </w:rPr>
              <w:t>4.12.12</w:t>
            </w:r>
            <w:r>
              <w:rPr>
                <w:rFonts w:ascii="Calibri" w:hAnsi="Calibri"/>
                <w:b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3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MCP Servers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Регистрация внешнего MCP server по </w:t>
            </w:r>
            <w:r>
              <w:rPr>
                <w:rFonts w:ascii="Calibri" w:hAnsi="Calibri"/>
                <w:b/>
                <w:sz w:val="20"/>
              </w:rPr>
              <w:t>Streamable HTTP</w:t>
            </w:r>
            <w:r>
              <w:rPr>
                <w:rFonts w:ascii="Calibri" w:hAnsi="Calibri"/>
                <w:b w:val="0"/>
                <w:sz w:val="20"/>
              </w:rPr>
              <w:t xml:space="preserve">; discovery переносит tools, resources и prompts в Catalog для управления доступом и композиции. </w:t>
            </w:r>
            <w:r>
              <w:rPr>
                <w:rFonts w:ascii="Calibri" w:hAnsi="Calibri"/>
                <w:b/>
                <w:sz w:val="20"/>
              </w:rPr>
              <w:t>Важно:</w:t>
            </w:r>
            <w:r>
              <w:rPr>
                <w:rFonts w:ascii="Calibri" w:hAnsi="Calibri"/>
                <w:b w:val="0"/>
                <w:sz w:val="20"/>
              </w:rPr>
              <w:t xml:space="preserve"> credential для discovery не сохраняется; upstream-аутентификация runtime настраивается отдельно.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4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Agent registration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Импорт A2A Agent Card: endpoint, version, capabilities и skills агента. Даёт инвентаризацию агентов и основу A2A governance. </w:t>
            </w:r>
            <w:r>
              <w:rPr>
                <w:rFonts w:ascii="Calibri" w:hAnsi="Calibri"/>
                <w:b/>
                <w:sz w:val="20"/>
              </w:rPr>
              <w:t>Важно:</w:t>
            </w:r>
            <w:r>
              <w:rPr>
                <w:rFonts w:ascii="Calibri" w:hAnsi="Calibri"/>
                <w:b w:val="0"/>
                <w:sz w:val="20"/>
              </w:rPr>
              <w:t xml:space="preserve"> skills из Agent Card — описания возможностей, не загруженные ZIP-пакеты Skills.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5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Catalog re-sync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Повторное обновление моделей из registry и probe/discovery MCP tools/resources/prompts. Исчезнувшие provider models автоматически не удаляются; composition MCP заменяется актуальным набором. Model auto-sync зависит от remote registry; MCP re-sync использует сохранённую connection configuration.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6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Prompts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Параметризованные prompt templates с объявленными аргументами автоматически обнаруживаются у MCP server, становятся объектами governance и включаются в Composite MCP. </w:t>
            </w:r>
            <w:r>
              <w:rPr>
                <w:rFonts w:ascii="Calibri" w:hAnsi="Calibri"/>
                <w:b/>
                <w:sz w:val="20"/>
              </w:rPr>
              <w:t>Важно:</w:t>
            </w:r>
            <w:r>
              <w:rPr>
                <w:rFonts w:ascii="Calibri" w:hAnsi="Calibri"/>
                <w:b w:val="0"/>
                <w:sz w:val="20"/>
              </w:rPr>
              <w:t xml:space="preserve"> это не ручной центральный prompt editor в Gamma.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7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MCP Resources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Read-only контекст из MCP server: схемы, логи, файлы. Discovery заносит его в Catalog; доступ, состав endpoint и использование контролируются отдельно. Для вручную добавленных материалов используется Knowledge Source.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8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Knowledge Sources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Доступно: Documents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Документы, knowledge base и reference material задаются inline или remote fetch, включая bundles спецификаций. Это управляемый контекст для агентов. </w:t>
            </w:r>
            <w:r>
              <w:rPr>
                <w:rFonts w:ascii="Calibri" w:hAnsi="Calibri"/>
                <w:b/>
                <w:sz w:val="20"/>
              </w:rPr>
              <w:t>Важно:</w:t>
            </w:r>
            <w:r>
              <w:rPr>
                <w:rFonts w:ascii="Calibri" w:hAnsi="Calibri"/>
                <w:b w:val="0"/>
                <w:sz w:val="20"/>
              </w:rPr>
              <w:t xml:space="preserve"> сейчас family Documents, не полноценная RAG-платформа; остальные families — roadmap (стр. 5).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9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Skills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ZIP с обязательным </w:t>
            </w:r>
            <w:r>
              <w:rPr>
                <w:rFonts w:ascii="Calibri" w:hAnsi="Calibri"/>
                <w:b/>
                <w:sz w:val="20"/>
              </w:rPr>
              <w:t>SKILL.md</w:t>
            </w:r>
            <w:r>
              <w:rPr>
                <w:rFonts w:ascii="Calibri" w:hAnsi="Calibri"/>
                <w:b w:val="0"/>
                <w:sz w:val="20"/>
              </w:rPr>
              <w:t xml:space="preserve"> и необязательными scripts/, references/, assets/. Gravitee каталогизирует пакет и выдаёт как MCP resource по FastMCP Skills-as-Resources. Агент читает инструкции и использует tools; выполнение scripts/ самим Gateway </w:t>
            </w:r>
            <w:r>
              <w:rPr>
                <w:rFonts w:ascii="Calibri" w:hAnsi="Calibri"/>
                <w:b/>
                <w:sz w:val="20"/>
              </w:rPr>
              <w:t>не обещано</w:t>
            </w:r>
            <w:r>
              <w:rPr>
                <w:rFonts w:ascii="Calibri" w:hAnsi="Calibri"/>
                <w:b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0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API Tools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Выбранные REST endpoints из APIM превращаются в agent-callable tools по OpenAPI, сохраняя security plans, policies и backend routing. Не нужно переписывать backend в MCP server. Рекомендуются узкие task-oriented tools, не весь REST surface.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1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Kafka API Tools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Соседний модуль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Инструменты для агентов из Kafka APIs через </w:t>
            </w:r>
            <w:r>
              <w:rPr>
                <w:rFonts w:ascii="Calibri" w:hAnsi="Calibri"/>
                <w:b/>
                <w:sz w:val="20"/>
              </w:rPr>
              <w:t>Event Stream Management</w:t>
            </w:r>
            <w:r>
              <w:rPr>
                <w:rFonts w:ascii="Calibri" w:hAnsi="Calibri"/>
                <w:b w:val="0"/>
                <w:sz w:val="20"/>
              </w:rPr>
              <w:t>; включаются в MCP Studio наряду с REST/MCP tools. Доступность связана с соседним модулем.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96C73"/>
          <w:sz w:val="17"/>
        </w:rPr>
        <w:t>LLM / SECURITY / EFFICIENCY</w:t>
      </w:r>
    </w:p>
    <w:p>
      <w:pPr>
        <w:pStyle w:val="Heading1"/>
      </w:pPr>
      <w:r>
        <w:t>2. LLM Gateway и AI-политики</w:t>
      </w:r>
    </w:p>
    <w:p>
      <w:pPr>
        <w:spacing w:after="140"/>
      </w:pPr>
      <w:r>
        <w:rPr>
          <w:rFonts w:ascii="Calibri" w:hAnsi="Calibri"/>
          <w:b w:val="0"/>
          <w:sz w:val="20"/>
        </w:rPr>
        <w:t>LLM-слой объединяет доступ к моделям, маршрутизацию, контроль данных и потребления. Ниже сохранены как основные функции, так и ограничения их применения.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353"/>
        <w:gridCol w:w="7795"/>
      </w:tblGrid>
      <w:tr>
        <w:trPr>
          <w:tblHeader/>
        </w:trPr>
        <w:tc>
          <w:tcPr>
            <w:tcW w:type="dxa" w:w="235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Функция / статус в исходнике</w:t>
            </w:r>
          </w:p>
        </w:tc>
        <w:tc>
          <w:tcPr>
            <w:tcW w:type="dxa" w:w="779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Что делает, зачем нужна и какие есть ограничения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2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Universal LLM Proxy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Единый endpoint к нескольким providers/models: принимает OpenAI, Anthropic Messages и Gemini-format requests; централизует credentials, consumer auth, policies, observability и стоимость. Совместимость provider-specific endpoints/параметров проверяется по feature matrix.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3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Provider normalization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Перевод общих форм запросов в native APIs OpenAI, Anthropic, Gemini, Bedrock и Vertex AI. Streaming и tool calling зависят от матрицы провайдеров; неподдерживаемые optional parameters могут </w:t>
            </w:r>
            <w:r>
              <w:rPr>
                <w:rFonts w:ascii="Calibri" w:hAnsi="Calibri"/>
                <w:b/>
                <w:sz w:val="20"/>
              </w:rPr>
              <w:t>молча игнорироваться</w:t>
            </w:r>
            <w:r>
              <w:rPr>
                <w:rFonts w:ascii="Calibri" w:hAnsi="Calibri"/>
                <w:b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4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Model governance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Aliases, alias-only, обязательный provider prefix и разрешение unregistered models по glob pattern скрывают физические model IDs и ограничивают доступный набор моделей. Для прозрачного failover aliases должны совпадать между providers.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4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Structured Output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Per-model </w:t>
            </w:r>
            <w:r>
              <w:rPr>
                <w:rFonts w:ascii="Calibri" w:hAnsi="Calibri"/>
                <w:b/>
                <w:sz w:val="20"/>
              </w:rPr>
              <w:t>Parameters Override (JSON)</w:t>
            </w:r>
            <w:r>
              <w:rPr>
                <w:rFonts w:ascii="Calibri" w:hAnsi="Calibri"/>
                <w:b w:val="0"/>
                <w:sz w:val="20"/>
              </w:rPr>
              <w:t xml:space="preserve"> дописывает или переопределяет параметры, например response_format, централизованно задавая формат ответа. Реальная поддержка параметра зависит от provider/model API.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5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Runtime Model Override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Атрибут </w:t>
            </w:r>
            <w:r>
              <w:rPr>
                <w:rFonts w:ascii="Calibri" w:hAnsi="Calibri"/>
                <w:b/>
                <w:sz w:val="20"/>
              </w:rPr>
              <w:t>llmproxy.model.override</w:t>
            </w:r>
            <w:r>
              <w:rPr>
                <w:rFonts w:ascii="Calibri" w:hAnsi="Calibri"/>
                <w:b w:val="0"/>
                <w:sz w:val="20"/>
              </w:rPr>
              <w:t xml:space="preserve"> переключает модель без изменения клиента: дешёвая модель, регион, tenant или аварийная замена provider. Override должен задаваться доверенной server-side policy, а не бесконтрольным consumer header.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6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Zero-code AI tools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Совместимые клиенты подключаются заменой base URL; в исходном отчёте приведены Claude Code и LangChain. Проверять целый workflow: streaming, tool calls, structured output и model-specific параметры.</w:t>
            </w:r>
          </w:p>
        </w:tc>
      </w:tr>
    </w:tbl>
    <w:p>
      <w:pPr>
        <w:pStyle w:val="Heading2"/>
      </w:pPr>
      <w:r>
        <w:t>AI Security &amp; efficiency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353"/>
        <w:gridCol w:w="7795"/>
      </w:tblGrid>
      <w:tr>
        <w:trPr>
          <w:tblHeader/>
        </w:trPr>
        <w:tc>
          <w:tcPr>
            <w:tcW w:type="dxa" w:w="235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Функция / статус в исходнике</w:t>
            </w:r>
          </w:p>
        </w:tc>
        <w:tc>
          <w:tcPr>
            <w:tcW w:type="dxa" w:w="779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Что делает, зачем нужна и какие есть ограничения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7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AI — Prompt Guard Rails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Text Classification выявляет toxicity, harmful intent, prompt injection/jailbreak; режимы log/block по labels и confidence threshold. Начинать с log и калибровать на своём трафике: у части моделей окно </w:t>
            </w:r>
            <w:r>
              <w:rPr>
                <w:rFonts w:ascii="Calibri" w:hAnsi="Calibri"/>
                <w:b/>
                <w:sz w:val="20"/>
              </w:rPr>
              <w:t>512 токенов</w:t>
            </w:r>
            <w:r>
              <w:rPr>
                <w:rFonts w:ascii="Calibri" w:hAnsi="Calibri"/>
                <w:b w:val="0"/>
                <w:sz w:val="20"/>
              </w:rPr>
              <w:t xml:space="preserve"> и ограниченная поддержка языков.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8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PII Filtering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 / EE pack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Token Classification находит персональные сущности и заменяет spans на </w:t>
            </w:r>
            <w:r>
              <w:rPr>
                <w:rFonts w:ascii="Calibri" w:hAnsi="Calibri"/>
                <w:b/>
                <w:sz w:val="20"/>
              </w:rPr>
              <w:t>[REDACTED]</w:t>
            </w:r>
            <w:r>
              <w:rPr>
                <w:rFonts w:ascii="Calibri" w:hAnsi="Calibri"/>
                <w:b w:val="0"/>
                <w:sz w:val="20"/>
              </w:rPr>
              <w:t xml:space="preserve"> в request/response. Снижает утечку PII. В исходных страницах расходится описание streaming; поведение plugin в целевом patch нужно проверить. Enterprise / Agent Mesh.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9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Token Rate Limit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Лимит input + output tokens за rolling period; ответ </w:t>
            </w:r>
            <w:r>
              <w:rPr>
                <w:rFonts w:ascii="Calibri" w:hAnsi="Calibri"/>
                <w:b/>
                <w:sz w:val="20"/>
              </w:rPr>
              <w:t>429</w:t>
            </w:r>
            <w:r>
              <w:rPr>
                <w:rFonts w:ascii="Calibri" w:hAnsi="Calibri"/>
                <w:b w:val="0"/>
                <w:sz w:val="20"/>
              </w:rPr>
              <w:t xml:space="preserve"> при превышении. Есть dynamic limit, custom key, use-key-only и стратегии при сбое store. Это не строгая финансовая резервация: параллелизм и async strategy допускают overshoot.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0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AI Semantic Caching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 / EE pack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Embedding + vector store находят похожий prompt и возвращают cached response без основной LLM: меньше latency и token cost. Cache нужно разделять по user/tenant/context, исключая чужие и устаревшие ответы. Требуются embedding resource и vector store; Enterprise / Agent Mesh.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1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AI Resources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Text Classification, Token Classification, Text Embedding, Redis Vector Store, AWS S3 Vector Store. Локальные ONNX models lazy-load и переиспользуются между proxies. </w:t>
            </w:r>
            <w:r>
              <w:rPr>
                <w:rFonts w:ascii="Calibri" w:hAnsi="Calibri"/>
                <w:b/>
                <w:sz w:val="20"/>
              </w:rPr>
              <w:t>Нужен Debian-based Gateway:</w:t>
            </w:r>
            <w:r>
              <w:rPr>
                <w:rFonts w:ascii="Calibri" w:hAnsi="Calibri"/>
                <w:b w:val="0"/>
                <w:sz w:val="20"/>
              </w:rPr>
              <w:t xml:space="preserve"> стандартный Alpine не поддерживает ONNX Runtime; учитывать RAM, cold start и writable model directory.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96C73"/>
          <w:sz w:val="17"/>
        </w:rPr>
        <w:t>MCP / A2A / IDENTITY</w:t>
      </w:r>
    </w:p>
    <w:p>
      <w:pPr>
        <w:pStyle w:val="Heading1"/>
      </w:pPr>
      <w:r>
        <w:t>3. MCP governance, A2A и доступ</w:t>
      </w:r>
    </w:p>
    <w:p>
      <w:pPr>
        <w:spacing w:after="140"/>
      </w:pPr>
      <w:r>
        <w:rPr>
          <w:rFonts w:ascii="Calibri" w:hAnsi="Calibri"/>
          <w:b w:val="0"/>
          <w:sz w:val="20"/>
        </w:rPr>
        <w:t>MCP управляет tools и контекстом; A2A — взаимодействием самостоятельных агентов. Общий слой identity, plans и policies задаёт контролируемые границы доступа.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353"/>
        <w:gridCol w:w="7795"/>
      </w:tblGrid>
      <w:tr>
        <w:trPr>
          <w:tblHeader/>
        </w:trPr>
        <w:tc>
          <w:tcPr>
            <w:tcW w:type="dxa" w:w="235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Функция / статус в исходнике</w:t>
            </w:r>
          </w:p>
        </w:tc>
        <w:tc>
          <w:tcPr>
            <w:tcW w:type="dxa" w:w="779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Что делает, зачем нужна и какие есть ограничения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2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MCP Proxy — Proxy mode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Прокси перед существующим MCP server работает с typed MCP/JSON-RPC и добавляет consumer authentication, policies, rate limiting и наблюдаемость. Upstream менять не требуется. Discovery credential и runtime credential на Gateway — разные настройки.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21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MCP Studio / Composite MCP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Собирает новый MCP server из MCP tools, API Tools, Kafka API Tools, skill resources, repository/resources и prompts. Для агента/роли оставляют только нужный toolbox: не включённые в composition сущности агент </w:t>
            </w:r>
            <w:r>
              <w:rPr>
                <w:rFonts w:ascii="Calibri" w:hAnsi="Calibri"/>
                <w:b/>
                <w:sz w:val="20"/>
              </w:rPr>
              <w:t>не видит</w:t>
            </w:r>
            <w:r>
              <w:rPr>
                <w:rFonts w:ascii="Calibri" w:hAnsi="Calibri"/>
                <w:b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3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Credential mediation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Gateway инжектирует upstream API key, Bearer, Basic или custom secret, не раздавая его агентам. Caller identity отделяется от общей upstream identity. Даже общий credential должен иметь минимальные права у upstream.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4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Fine-Grained Authorization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Соседний модуль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sz w:val="20"/>
              </w:rPr>
              <w:t>Authorization Management / GAPL</w:t>
            </w:r>
            <w:r>
              <w:rPr>
                <w:rFonts w:ascii="Calibri" w:hAnsi="Calibri"/>
                <w:b w:val="0"/>
                <w:sz w:val="20"/>
              </w:rPr>
              <w:t xml:space="preserve"> управляет MCPServer, MCPTool, MCPPrompt и MCPResource для users/groups/agents/agent identities, с условиями по времени/device/IP. Можно разрешить read и запретить write/delete с default-deny. PDP работает in-gateway; entitlement сверяется отдельно.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5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Per-method / per-tool flows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Policy Studio применяет правила к конкретному MCP method/tool invocation: отдельные rate limits, PII, transformations и другие policies. Чувствительные инструменты получают усиленный контроль без усложнения безопасных вызовов.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6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Layered governance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Композиция → FGA → частота вызовов → контроль содержимого response: кто имеет доступ, как часто и какие данные получает. Для MCP описаны </w:t>
            </w:r>
            <w:r>
              <w:rPr>
                <w:rFonts w:ascii="Calibri" w:hAnsi="Calibri"/>
                <w:b/>
                <w:sz w:val="20"/>
              </w:rPr>
              <w:t>Rate Limit, Quota, Spike Arrest</w:t>
            </w:r>
            <w:r>
              <w:rPr>
                <w:rFonts w:ascii="Calibri" w:hAnsi="Calibri"/>
                <w:b w:val="0"/>
                <w:sz w:val="20"/>
              </w:rPr>
              <w:t xml:space="preserve">; Token Bucket Rate Limit в источнике </w:t>
            </w:r>
            <w:r>
              <w:rPr>
                <w:rFonts w:ascii="Calibri" w:hAnsi="Calibri"/>
                <w:b/>
                <w:sz w:val="20"/>
              </w:rPr>
              <w:t>не документирован</w:t>
            </w:r>
            <w:r>
              <w:rPr>
                <w:rFonts w:ascii="Calibri" w:hAnsi="Calibri"/>
                <w:b w:val="0"/>
                <w:sz w:val="20"/>
              </w:rPr>
              <w:t>.</w:t>
            </w:r>
          </w:p>
        </w:tc>
      </w:tr>
    </w:tbl>
    <w:p>
      <w:pPr>
        <w:pStyle w:val="Heading2"/>
      </w:pPr>
      <w:r>
        <w:t>A2A и Agent Identity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353"/>
        <w:gridCol w:w="7795"/>
      </w:tblGrid>
      <w:tr>
        <w:trPr>
          <w:tblHeader/>
        </w:trPr>
        <w:tc>
          <w:tcPr>
            <w:tcW w:type="dxa" w:w="235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Функция / статус в исходнике</w:t>
            </w:r>
          </w:p>
        </w:tc>
        <w:tc>
          <w:tcPr>
            <w:tcW w:type="dxa" w:w="779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Что делает, зачем нужна и какие есть ограничения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7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A2A Proxy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Публикует агента через Gateway, обслуживает </w:t>
            </w:r>
            <w:r>
              <w:rPr>
                <w:rFonts w:ascii="Calibri" w:hAnsi="Calibri"/>
                <w:b/>
                <w:sz w:val="20"/>
              </w:rPr>
              <w:t>/.well-known/agent-card.json</w:t>
            </w:r>
            <w:r>
              <w:rPr>
                <w:rFonts w:ascii="Calibri" w:hAnsi="Calibri"/>
                <w:b w:val="0"/>
                <w:sz w:val="20"/>
              </w:rPr>
              <w:t>, переписывает advertised endpoint на gateway URL; вызовы идут через auth, policies и observability. Нужен для независимых агентов; обычному доступу к tools чаще достаточно MCP.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8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A2A Skill discovery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Agent Card делает skills/capabilities discoverable: другой агент видит, какие задачи можно поручить upstream через управляемый endpoint. A2A skill — descriptor возможности, не uploaded Skill package из Catalog.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39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Agent Identity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Соседний модуль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sz w:val="20"/>
              </w:rPr>
              <w:t>Access Management</w:t>
            </w:r>
            <w:r>
              <w:rPr>
                <w:rFonts w:ascii="Calibri" w:hAnsi="Calibri"/>
                <w:b w:val="0"/>
                <w:sz w:val="20"/>
              </w:rPr>
              <w:t xml:space="preserve"> создаёт OAuth client для агента: Desktop Productivity (PKCE), Hosted и Workload personas; client ID/CIMD, JWKS, SPIFFE для workload. Даёт per-agent identity вместо общего ключа; CIMD/SPIFFE зависят от AM domain.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40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Subscriptions / access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LLM/MCP plans и subscriptions выдают consumer-specific credentials и связывают usage, rate limits и стоимость с application. A2A использует client auth и subscriptions backing API. Lifecycle: request → approve → revoke/close; Keyless — только тест без полноценной attribution.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41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Developer Portal publication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Доступно; зависит от patch/UI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Публикация LLM/MCP endpoints с discovery и subscription lifecycle. Для A2A описан agent listing, но часть detail/lifecycle pages hidden/noIndex: наличие именно в выбранном patch/UI нужно подтвердить.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96C73"/>
          <w:sz w:val="17"/>
        </w:rPr>
        <w:t>OBSERVABILITY / FINOPS / AVAILABILITY</w:t>
      </w:r>
    </w:p>
    <w:p>
      <w:pPr>
        <w:pStyle w:val="Heading1"/>
      </w:pPr>
      <w:r>
        <w:t>4. Наблюдаемость и условия доступности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353"/>
        <w:gridCol w:w="7795"/>
      </w:tblGrid>
      <w:tr>
        <w:trPr>
          <w:tblHeader/>
        </w:trPr>
        <w:tc>
          <w:tcPr>
            <w:tcW w:type="dxa" w:w="235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Функция / статус в исходнике</w:t>
            </w:r>
          </w:p>
        </w:tc>
        <w:tc>
          <w:tcPr>
            <w:tcW w:type="dxa" w:w="779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Что делает, зачем нужна и какие есть ограничения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42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LLM Dashboard / FinOps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Provider, фактическая response model, input/output tokens и рассчитанная стоимость каждого вызова; requests, total/avg tokens и cost, P95, ошибки, breakdown по provider/model. </w:t>
            </w:r>
            <w:r>
              <w:rPr>
                <w:rFonts w:ascii="Calibri" w:hAnsi="Calibri"/>
                <w:b/>
                <w:sz w:val="20"/>
              </w:rPr>
              <w:t>Стоимость рассчитывается по catalog price, не по invoice provider;</w:t>
            </w:r>
            <w:r>
              <w:rPr>
                <w:rFonts w:ascii="Calibri" w:hAnsi="Calibri"/>
                <w:b w:val="0"/>
                <w:sz w:val="20"/>
              </w:rPr>
              <w:t xml:space="preserve"> без usage/pricing она неполна.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43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MCP Dashboard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Tool invocations, error rate, p50/p95/p99 latency, auth failures и upstream health по server/tool/consumer. Позволяет найти медленные и рискованные инструменты; usage/latency сами по себе не означают business ROI.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44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Logs / OpenTelemetry traces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526471"/>
                <w:sz w:val="17"/>
              </w:rPr>
              <w:t>Доступно; нужна настройка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Agent logs и Trace Explorer связывают identity, tool/model, inputs/outputs, policy decisions, latency и cost; lineage graph показывает связи spans. OTel pipeline отдельно настраивается и по умолчанию выключен. Prompts/responses в payload logs требуют контролируемого включения.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45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Shadow AI visibility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Соседний модуль: Edge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sz w:val="20"/>
              </w:rPr>
              <w:t>Edge Management / Edge Daemon</w:t>
            </w:r>
            <w:r>
              <w:rPr>
                <w:rFonts w:ascii="Calibri" w:hAnsi="Calibri"/>
                <w:b w:val="0"/>
                <w:sz w:val="20"/>
              </w:rPr>
              <w:t xml:space="preserve"> выявляет managed/unmanaged AI traffic на устройствах сотрудников, usage/cost по device/team/model и fleet health. Это контроль прямых вызовов AI providers вне Gateway, а не автоматическая часть любого Agent Management deployment.</w:t>
            </w:r>
          </w:p>
        </w:tc>
      </w:tr>
    </w:tbl>
    <w:p>
      <w:pPr>
        <w:pStyle w:val="Heading2"/>
      </w:pPr>
      <w:r>
        <w:t>Patch-границы внутри 4.12</w:t>
      </w:r>
    </w:p>
    <w:p>
      <w:pPr>
        <w:spacing w:after="120"/>
      </w:pPr>
      <w:r>
        <w:rPr>
          <w:rFonts w:ascii="Calibri" w:hAnsi="Calibri"/>
          <w:b w:val="0"/>
          <w:sz w:val="20"/>
        </w:rPr>
        <w:t xml:space="preserve">Документация ветки 4.12 обновляется вместе с patch-релизами. Поэтому наличие страницы в разделе 4.12 </w:t>
      </w:r>
      <w:r>
        <w:rPr>
          <w:rFonts w:ascii="Calibri" w:hAnsi="Calibri"/>
          <w:b/>
          <w:sz w:val="20"/>
        </w:rPr>
        <w:t>не подтверждает наличие функции именно в 4.12.17</w:t>
      </w:r>
      <w:r>
        <w:rPr>
          <w:rFonts w:ascii="Calibri" w:hAnsi="Calibri"/>
          <w:b w:val="0"/>
          <w:sz w:val="20"/>
        </w:rPr>
        <w:t>. Известные границы из исходного отчёта: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1531"/>
        <w:gridCol w:w="6123"/>
        <w:gridCol w:w="2494"/>
      </w:tblGrid>
      <w:tr>
        <w:trPr>
          <w:tblHeader/>
        </w:trPr>
        <w:tc>
          <w:tcPr>
            <w:tcW w:type="dxa" w:w="1531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Минимальный patch</w:t>
            </w:r>
          </w:p>
        </w:tc>
        <w:tc>
          <w:tcPr>
            <w:tcW w:type="dxa" w:w="612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Изменение</w:t>
            </w:r>
          </w:p>
        </w:tc>
        <w:tc>
          <w:tcPr>
            <w:tcW w:type="dxa" w:w="2494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Для целевой 4.12.17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4.12.12</w:t>
            </w:r>
          </w:p>
        </w:tc>
        <w:tc>
          <w:tcPr>
            <w:tcW w:type="dxa" w:w="612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Remote LLM provider registry и настройки re-sync.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Входит в диапазон 4.12.17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4.12.17</w:t>
            </w:r>
          </w:p>
        </w:tc>
        <w:tc>
          <w:tcPr>
            <w:tcW w:type="dxa" w:w="612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Schema-driven LLM provider cards: динамические поля wizard из schema endpoint plugin.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Входит с 4.12.17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4.12.18</w:t>
            </w:r>
          </w:p>
        </w:tc>
        <w:tc>
          <w:tcPr>
            <w:tcW w:type="dxa" w:w="612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Отдельная штатная настройка CORS для LLM Proxy.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Позже 4.12.17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4.12.19</w:t>
            </w:r>
          </w:p>
        </w:tc>
        <w:tc>
          <w:tcPr>
            <w:tcW w:type="dxa" w:w="612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Models page: редактирование providers/models после создания и связанные fixes.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Позже 4.12.17</w:t>
            </w:r>
          </w:p>
        </w:tc>
      </w:tr>
    </w:tbl>
    <w:p>
      <w:pPr>
        <w:pStyle w:val="Heading2"/>
      </w:pPr>
      <w:r>
        <w:t>Лицензирование и соседние модули</w:t>
      </w:r>
    </w:p>
    <w:p>
      <w:pPr>
        <w:spacing w:after="120"/>
      </w:pPr>
      <w:r>
        <w:rPr>
          <w:rFonts w:ascii="Calibri" w:hAnsi="Calibri"/>
          <w:b w:val="0"/>
          <w:sz w:val="20"/>
        </w:rPr>
        <w:t xml:space="preserve">Надпись </w:t>
      </w:r>
      <w:r>
        <w:rPr>
          <w:rFonts w:ascii="Calibri" w:hAnsi="Calibri"/>
          <w:b/>
          <w:sz w:val="20"/>
        </w:rPr>
        <w:t>EE не гарантирует все AI/Agent Management packs</w:t>
      </w:r>
      <w:r>
        <w:rPr>
          <w:rFonts w:ascii="Calibri" w:hAnsi="Calibri"/>
          <w:b w:val="0"/>
          <w:sz w:val="20"/>
        </w:rPr>
        <w:t>. Перед закупкой и production-планированием нужна vendor entitlement matrix для выбранных patch/image: Agent Management, Authorization Management, Access Management, Edge Management и policy packs. В исходнике нет полного списка прав конкретной лицензии.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835"/>
        <w:gridCol w:w="7313"/>
      </w:tblGrid>
      <w:tr>
        <w:trPr>
          <w:tblHeader/>
        </w:trPr>
        <w:tc>
          <w:tcPr>
            <w:tcW w:type="dxa" w:w="283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Зависимость</w:t>
            </w:r>
          </w:p>
        </w:tc>
        <w:tc>
          <w:tcPr>
            <w:tcW w:type="dxa" w:w="731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Что следует сохранить при планировании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Agent Mesh / policy packs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PII Filtering и AI Semantic Caching в отчёте отмечены как Enterprise / Agent Mesh; доступность подтверждается лицензией.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Access Management / Authorization Management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Agent Identity использует AM; FGA — Authorization Management/GAPL. Это отдельные слои, даже если PDP исполняется in-gateway.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Edge / Event Stream Management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Shadow AI требует Edge Management/Edge Daemon; Kafka API Tools относятся к Event Stream Management.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Runtime и сбор данных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Для локальных ONNX — Debian-based Gateway, RAM и writable model directory. OTel отдельно включается; payload logging требует контроля чувствительных данных.</w:t>
            </w:r>
          </w:p>
        </w:tc>
      </w:tr>
    </w:tbl>
    <w:p>
      <w:pPr>
        <w:spacing w:after="0"/>
      </w:pPr>
      <w:r>
        <w:rPr>
          <w:rFonts w:ascii="Calibri" w:hAnsi="Calibri"/>
          <w:b/>
          <w:color w:val="526471"/>
          <w:sz w:val="18"/>
        </w:rPr>
        <w:t>Источники и рамки:</w:t>
      </w:r>
      <w:r>
        <w:rPr>
          <w:rFonts w:ascii="Calibri" w:hAnsi="Calibri"/>
          <w:b w:val="0"/>
          <w:color w:val="526471"/>
          <w:sz w:val="18"/>
        </w:rPr>
        <w:t xml:space="preserve"> сокращение исходного каталога от 17.09.2026; статусы, patch-границы и оговорки перенесены без новой проверки. Названия функций со ссылками ведут на источники оригинала.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96C73"/>
          <w:sz w:val="17"/>
        </w:rPr>
        <w:t>ROADMAP / CORPORATE ADOPTION</w:t>
      </w:r>
    </w:p>
    <w:p>
      <w:pPr>
        <w:pStyle w:val="Heading1"/>
      </w:pPr>
      <w:r>
        <w:t>5. Roadmap и порядок внедрения</w:t>
      </w:r>
    </w:p>
    <w:p>
      <w:pPr>
        <w:spacing w:after="140"/>
      </w:pPr>
      <w:r>
        <w:rPr>
          <w:rFonts w:ascii="Calibri" w:hAnsi="Calibri"/>
          <w:b w:val="0"/>
          <w:sz w:val="20"/>
        </w:rPr>
        <w:t xml:space="preserve">Эти функции сохранены в каталоге, но исходник относит их к Coming soon, hidden/noIndex, TODO «ahead of build» или будущему развитию. </w:t>
      </w:r>
      <w:r>
        <w:rPr>
          <w:rFonts w:ascii="Calibri" w:hAnsi="Calibri"/>
          <w:b/>
          <w:sz w:val="20"/>
        </w:rPr>
        <w:t>Не включать их в объём готового production-решения без подтверждения Gravitee.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353"/>
        <w:gridCol w:w="7795"/>
      </w:tblGrid>
      <w:tr>
        <w:trPr>
          <w:tblHeader/>
        </w:trPr>
        <w:tc>
          <w:tcPr>
            <w:tcW w:type="dxa" w:w="235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Функция / статус в исходнике</w:t>
            </w:r>
          </w:p>
        </w:tc>
        <w:tc>
          <w:tcPr>
            <w:tcW w:type="dxa" w:w="779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Что делает, зачем нужна и какие есть ограничения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46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External MCP Registry import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Coming soon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Массовый импорт MCP servers из GitHub/Smithery/Gravitee registry. В исходнике прямо указано Coming soon: подключение для bulk import ещё не обещано.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EU AI Act compliance scoring</w:t>
            </w:r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Draft / hidden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Continuous agent score по metadata и действующим gateway controls. Страница hidden/noIndex, содержит TODO по UI; не считать подтверждённой production-возможностью.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Guardian Agents</w:t>
            </w:r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Draft / hidden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 xml:space="preserve">LLM/agent judge перед MCP action: </w:t>
            </w:r>
            <w:r>
              <w:rPr>
                <w:rFonts w:ascii="Calibri" w:hAnsi="Calibri"/>
                <w:b/>
                <w:sz w:val="20"/>
              </w:rPr>
              <w:t>ALLOW / DENY / MODIFY / STEP_UP</w:t>
            </w:r>
            <w:r>
              <w:rPr>
                <w:rFonts w:ascii="Calibri" w:hAnsi="Calibri"/>
                <w:b w:val="0"/>
                <w:sz w:val="20"/>
              </w:rPr>
              <w:t>. Hidden/noIndex, есть TODO по hosting surface.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Human approval / HITL</w:t>
            </w:r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Draft / hidden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Human-in-the-Loop approval по tool + arguments: approve/reject/modify, timeout. Страница hidden/noIndex, UI помечен «ahead of build».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Unified Agent Activity Log</w:t>
            </w:r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Draft / hidden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Единая запись decision chain + result + cost. Hidden/noIndex, зависит от draft Guardian/HITL; не смешивать с доступными logs/traces.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Performance Targets</w:t>
            </w:r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Draft / hidden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SLO-like thresholds для latency, errors, tokens и cost с фильтрами per-tool/per-model. Страница hidden/noIndex.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r>
              <w:rPr>
                <w:rFonts w:ascii="Calibri" w:hAnsi="Calibri"/>
                <w:b/>
                <w:color w:val="17344A"/>
                <w:sz w:val="20"/>
              </w:rPr>
              <w:t>Business value / ROI</w:t>
            </w:r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Draft / hidden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20"/>
              </w:rPr>
              <w:t>Value tags, cost-per-outcome, ROI per agent/tool. Текущий cost metering есть, но полная value-attribution page скрыта и содержит TODO.</w:t>
            </w:r>
          </w:p>
        </w:tc>
      </w:tr>
      <w:tr>
        <w:trPr>
          <w:cantSplit/>
        </w:trPr>
        <w:tc>
          <w:tcPr>
            <w:tcW w:type="dxa" w:w="2353"/>
            <w:vAlign w:val="top"/>
            <w:shd w:fill="EAF3F4"/>
          </w:tcPr>
          <w:p>
            <w:pPr>
              <w:keepNext w:val="0"/>
              <w:widowControl/>
              <w:spacing w:after="40" w:line="240" w:lineRule="auto"/>
            </w:pPr>
            <w:hyperlink r:id="rId18">
              <w:r>
                <w:rPr>
                  <w:rFonts w:ascii="Calibri" w:hAnsi="Calibri"/>
                  <w:color w:val="096C73"/>
                  <w:sz w:val="21"/>
                  <w:b/>
                  <w:u w:val="single"/>
                </w:rPr>
                <w:t>Будущие Knowledge families</w:t>
              </w:r>
            </w:hyperlink>
          </w:p>
          <w:p>
            <w:pPr>
              <w:keepNext w:val="0"/>
              <w:widowControl/>
              <w:spacing w:after="0" w:line="240" w:lineRule="auto"/>
            </w:pPr>
            <w:r>
              <w:rPr>
                <w:rFonts w:ascii="Calibri" w:hAnsi="Calibri"/>
                <w:color w:val="875618"/>
                <w:sz w:val="17"/>
              </w:rPr>
              <w:t>Future</w:t>
            </w:r>
          </w:p>
        </w:tc>
        <w:tc>
          <w:tcPr>
            <w:tcW w:type="dxa" w:w="7795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sz w:val="20"/>
              </w:rPr>
              <w:t>Vector store, Structured data, Search index, Memory store, Graph store</w:t>
            </w:r>
            <w:r>
              <w:rPr>
                <w:rFonts w:ascii="Calibri" w:hAnsi="Calibri"/>
                <w:b w:val="0"/>
                <w:sz w:val="20"/>
              </w:rPr>
              <w:t xml:space="preserve"> — запланированные families; доступная family Knowledge Sources в отчёте — Documents.</w:t>
            </w:r>
          </w:p>
        </w:tc>
      </w:tr>
    </w:tbl>
    <w:p>
      <w:pPr>
        <w:pStyle w:val="Heading2"/>
      </w:pPr>
      <w:r>
        <w:t>Приоритеты корпоративного внедрения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left w:w="95" w:type="dxa"/>
          <w:right w:w="95" w:type="dxa"/>
        </w:tblCellMar>
        <w:tblBorders>
          <w:top w:val="nil" w:sz="4" w:color="CDDADF"/>
          <w:left w:val="nil" w:sz="4" w:color="CDDADF"/>
          <w:bottom w:val="nil" w:sz="4" w:color="CDDADF"/>
          <w:right w:val="nil" w:sz="4" w:color="CDDADF"/>
          <w:insideH w:val="single" w:sz="4" w:color="CDDADF"/>
          <w:insideV w:val="nil" w:sz="4" w:color="CDDADF"/>
        </w:tblBorders>
      </w:tblPr>
      <w:tblGrid>
        <w:gridCol w:w="2835"/>
        <w:gridCol w:w="7313"/>
      </w:tblGrid>
      <w:tr>
        <w:trPr>
          <w:tblHeader/>
        </w:trPr>
        <w:tc>
          <w:tcPr>
            <w:tcW w:type="dxa" w:w="2835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7313"/>
            <w:shd w:fill="17344A"/>
          </w:tcPr>
          <w:p>
            <w:pPr>
              <w:keepNext/>
              <w:widowControl/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Набор функций и практический результат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19"/>
              </w:rPr>
              <w:t>1. Controlled LLM access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19"/>
              </w:rPr>
              <w:t>LLM Proxy + model catalog + consumer identity + token/cost telemetry: контроль уже используемых AI clients.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19"/>
              </w:rPr>
              <w:t>2. Existing APIs → tools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19"/>
              </w:rPr>
              <w:t>API Tools превращают существующие APIM endpoints в инструменты без переписывания backend.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19"/>
              </w:rPr>
              <w:t>3. Agent-specific toolkits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19"/>
              </w:rPr>
              <w:t>MCP Studio собирает нужные tools/prompts/resources/skills и уменьшает область доступных действий.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19"/>
              </w:rPr>
              <w:t>4. Identity + FGA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19"/>
              </w:rPr>
              <w:t>Agent Identity + Authorization Management: per-agent/per-user доступ вместо общих секретов.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19"/>
              </w:rPr>
              <w:t>5. Data controls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19"/>
              </w:rPr>
              <w:t>PII, Guard Rails, semantic cache и token budget становятся централизованными policies.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EAF3F4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/>
                <w:color w:val="17344A"/>
                <w:sz w:val="19"/>
              </w:rPr>
              <w:t>6. A2A governance</w:t>
            </w:r>
          </w:p>
        </w:tc>
        <w:tc>
          <w:tcPr>
            <w:tcW w:type="dxa" w:w="7313"/>
            <w:vAlign w:val="top"/>
          </w:tcPr>
          <w:p>
            <w:pPr>
              <w:keepNext w:val="0"/>
              <w:widowControl/>
              <w:spacing w:after="0" w:line="247" w:lineRule="auto"/>
            </w:pPr>
            <w:r>
              <w:rPr>
                <w:rFonts w:ascii="Calibri" w:hAnsi="Calibri"/>
                <w:b w:val="0"/>
                <w:sz w:val="19"/>
              </w:rPr>
              <w:t>A2A Proxy — для независимых агентов; следующий этап, не исходная точка пилота.</w:t>
            </w:r>
          </w:p>
        </w:tc>
      </w:tr>
    </w:tbl>
    <w:p>
      <w:pPr>
        <w:spacing w:after="100" w:before="120"/>
        <w:shd w:fill="F4F7F9"/>
      </w:pPr>
      <w:r>
        <w:rPr>
          <w:rFonts w:ascii="Calibri" w:hAnsi="Calibri"/>
          <w:b/>
          <w:sz w:val="20"/>
        </w:rPr>
        <w:t>Стартовый пилот.</w:t>
      </w:r>
      <w:r>
        <w:rPr>
          <w:rFonts w:ascii="Calibri" w:hAnsi="Calibri"/>
          <w:b w:val="0"/>
          <w:sz w:val="20"/>
        </w:rPr>
        <w:t xml:space="preserve"> </w:t>
      </w:r>
      <w:r>
        <w:rPr>
          <w:rFonts w:ascii="Calibri" w:hAnsi="Calibri"/>
          <w:b w:val="0"/>
          <w:sz w:val="20"/>
        </w:rPr>
        <w:t>Один LLM Proxy + 3–5 API Tools + один Composite MCP Server; затем FGA, token limits и наблюдаемость. Skills/Prompts/Knowledge добавляются как управляемый контекст; A2A — при появлении независимых агентов.</w:t>
      </w:r>
    </w:p>
    <w:p>
      <w:pPr>
        <w:spacing w:after="0"/>
      </w:pPr>
      <w:r>
        <w:rPr>
          <w:rFonts w:ascii="Calibri" w:hAnsi="Calibri"/>
          <w:color w:val="526471"/>
          <w:sz w:val="18"/>
        </w:rPr>
        <w:t xml:space="preserve">Основные источники оригинала: </w:t>
      </w:r>
      <w:hyperlink r:id="rId41">
        <w:r>
          <w:rPr>
            <w:rFonts w:ascii="Calibri" w:hAnsi="Calibri"/>
            <w:color w:val="096C73"/>
            <w:sz w:val="18"/>
            <w:u w:val="single"/>
          </w:rPr>
          <w:t>обзор Agent Management</w:t>
        </w:r>
      </w:hyperlink>
      <w:r>
        <w:rPr>
          <w:rFonts w:ascii="Calibri" w:hAnsi="Calibri"/>
          <w:color w:val="526471"/>
          <w:sz w:val="18"/>
        </w:rPr>
        <w:t xml:space="preserve">  ·  </w:t>
      </w:r>
      <w:hyperlink r:id="rId47">
        <w:r>
          <w:rPr>
            <w:rFonts w:ascii="Calibri" w:hAnsi="Calibri"/>
            <w:color w:val="096C73"/>
            <w:sz w:val="18"/>
            <w:u w:val="single"/>
          </w:rPr>
          <w:t>индекс 4.12</w:t>
        </w:r>
      </w:hyperlink>
      <w:r>
        <w:rPr>
          <w:rFonts w:ascii="Calibri" w:hAnsi="Calibri"/>
          <w:color w:val="526471"/>
          <w:sz w:val="18"/>
        </w:rPr>
        <w:t xml:space="preserve">  ·  </w:t>
      </w:r>
      <w:hyperlink r:id="rId48">
        <w:r>
          <w:rPr>
            <w:rFonts w:ascii="Calibri" w:hAnsi="Calibri"/>
            <w:color w:val="096C73"/>
            <w:sz w:val="18"/>
            <w:u w:val="single"/>
          </w:rPr>
          <w:t>Import / Catalog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79" w:bottom="822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148" w:val="right"/>
      </w:tabs>
      <w:spacing w:before="60"/>
    </w:pPr>
    <w:r>
      <w:rPr>
        <w:rFonts w:ascii="Calibri" w:hAnsi="Calibri"/>
        <w:color w:val="526471"/>
        <w:sz w:val="16"/>
      </w:rPr>
      <w:t>AI FEATURES CATALOG  •  по отчёту от 17.09.2026</w:t>
    </w:r>
    <w:r>
      <w:tab/>
    </w:r>
    <w:r>
      <w:rPr>
        <w:rFonts w:ascii="Calibri" w:hAnsi="Calibri"/>
        <w:color w:val="526471"/>
        <w:sz w:val="16"/>
      </w:rPr>
    </w:r>
    <w:fldSimple w:instr="PAGE">
      <w:r>
        <w:t>1</w:t>
      </w:r>
    </w:fldSimple>
    <w:r>
      <w:rPr>
        <w:rFonts w:ascii="Calibri" w:hAnsi="Calibri"/>
        <w:color w:val="526471"/>
        <w:sz w:val="16"/>
      </w:rPr>
      <w:t xml:space="preserve"> / </w:t>
    </w:r>
    <w:r>
      <w:rPr>
        <w:rFonts w:ascii="Calibri" w:hAnsi="Calibri"/>
        <w:color w:val="526471"/>
        <w:sz w:val="16"/>
      </w:rPr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color="096C73" w:space="5"/>
      </w:pBdr>
    </w:pPr>
    <w:r>
      <w:rPr>
        <w:rFonts w:ascii="Calibri" w:hAnsi="Calibri"/>
        <w:b/>
        <w:color w:val="526471"/>
        <w:sz w:val="16"/>
      </w:rPr>
      <w:t>GRAVITEE EE 4.12  /  AGENT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7" w:lineRule="auto"/>
    </w:pPr>
    <w:rPr>
      <w:rFonts w:ascii="Calibri" w:hAnsi="Calibri" w:eastAsia="Calibri"/>
      <w:color w:val="22313E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44A"/>
      <w:sz w:val="34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7344A"/>
      <w:sz w:val="24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4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44A"/>
      <w:spacing w:val="5"/>
      <w:kern w:val="28"/>
      <w:sz w:val="46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Calibri"/>
      <w:i/>
      <w:iCs/>
      <w:color w:val="096C73"/>
      <w:spacing w:val="15"/>
      <w:sz w:val="22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umentation.gravitee.io/agent-management/import/add-an-ai-model" TargetMode="External"/><Relationship Id="rId12" Type="http://schemas.openxmlformats.org/officeDocument/2006/relationships/hyperlink" Target="https://documentation.gravitee.io/agent-management/import/integrations/connect-integrations" TargetMode="External"/><Relationship Id="rId13" Type="http://schemas.openxmlformats.org/officeDocument/2006/relationships/hyperlink" Target="https://documentation.gravitee.io/agent-management/import/register-an-mcp-server" TargetMode="External"/><Relationship Id="rId14" Type="http://schemas.openxmlformats.org/officeDocument/2006/relationships/hyperlink" Target="https://documentation.gravitee.io/agent-management/import/integrations/import-an-agent" TargetMode="External"/><Relationship Id="rId15" Type="http://schemas.openxmlformats.org/officeDocument/2006/relationships/hyperlink" Target="https://github.com/gravitee-io/gravitee-platform-docs/blob/main/docs/gamma/4.12/agent-management/import/re-sync-catalog-assets.md" TargetMode="External"/><Relationship Id="rId16" Type="http://schemas.openxmlformats.org/officeDocument/2006/relationships/hyperlink" Target="https://documentation.gravitee.io/agent-management/import/import-prompts" TargetMode="External"/><Relationship Id="rId17" Type="http://schemas.openxmlformats.org/officeDocument/2006/relationships/hyperlink" Target="https://documentation.gravitee.io/agent-management/import/add-mcp-resources" TargetMode="External"/><Relationship Id="rId18" Type="http://schemas.openxmlformats.org/officeDocument/2006/relationships/hyperlink" Target="https://documentation.gravitee.io/agent-management/import/add-knowledge-source" TargetMode="External"/><Relationship Id="rId19" Type="http://schemas.openxmlformats.org/officeDocument/2006/relationships/hyperlink" Target="https://documentation.gravitee.io/agent-management/import/upload-skills" TargetMode="External"/><Relationship Id="rId20" Type="http://schemas.openxmlformats.org/officeDocument/2006/relationships/hyperlink" Target="https://documentation.gravitee.io/agent-management/import/create-api-tools" TargetMode="External"/><Relationship Id="rId21" Type="http://schemas.openxmlformats.org/officeDocument/2006/relationships/hyperlink" Target="https://documentation.gravitee.io/agent-management/build/mcp-proxies/create-an-mcp-studio" TargetMode="External"/><Relationship Id="rId22" Type="http://schemas.openxmlformats.org/officeDocument/2006/relationships/hyperlink" Target="https://documentation.gravitee.io/agent-management/build/llm-proxies/create-an-llm-proxy" TargetMode="External"/><Relationship Id="rId23" Type="http://schemas.openxmlformats.org/officeDocument/2006/relationships/hyperlink" Target="https://documentation.gravitee.io/agent-management/overview/llm-proxy-provider-support" TargetMode="External"/><Relationship Id="rId24" Type="http://schemas.openxmlformats.org/officeDocument/2006/relationships/hyperlink" Target="https://documentation.gravitee.io/agent-management/build/llm-proxies/configure-an-llm-proxy" TargetMode="External"/><Relationship Id="rId25" Type="http://schemas.openxmlformats.org/officeDocument/2006/relationships/hyperlink" Target="https://documentation.gravitee.io/agent-management/build/llm-proxies/override-the-model-at-runtime" TargetMode="External"/><Relationship Id="rId26" Type="http://schemas.openxmlformats.org/officeDocument/2006/relationships/hyperlink" Target="https://documentation.gravitee.io/agent-management/build/llm-proxies/third-party-ai-tools" TargetMode="External"/><Relationship Id="rId27" Type="http://schemas.openxmlformats.org/officeDocument/2006/relationships/hyperlink" Target="https://documentation.gravitee.io/agent-management/build/llm-proxies/configure-an-llm-proxy/design/configure-text-classification" TargetMode="External"/><Relationship Id="rId28" Type="http://schemas.openxmlformats.org/officeDocument/2006/relationships/hyperlink" Target="https://documentation.gravitee.io/apim/create-and-configure-apis/apply-policies/policy-reference/pii-filtering" TargetMode="External"/><Relationship Id="rId29" Type="http://schemas.openxmlformats.org/officeDocument/2006/relationships/hyperlink" Target="https://documentation.gravitee.io/agent-management/build/llm-proxies/configure-an-llm-proxy/design/add-the-token-rate-limit-policy" TargetMode="External"/><Relationship Id="rId30" Type="http://schemas.openxmlformats.org/officeDocument/2006/relationships/hyperlink" Target="https://documentation.gravitee.io/apim/create-and-configure-apis/apply-policies/policy-reference/ai-semantic-caching" TargetMode="External"/><Relationship Id="rId31" Type="http://schemas.openxmlformats.org/officeDocument/2006/relationships/hyperlink" Target="https://documentation.gravitee.io/agent-management/overview/ai-resources" TargetMode="External"/><Relationship Id="rId32" Type="http://schemas.openxmlformats.org/officeDocument/2006/relationships/hyperlink" Target="https://documentation.gravitee.io/agent-management/build/mcp-proxies/create-an-mcp-proxy" TargetMode="External"/><Relationship Id="rId33" Type="http://schemas.openxmlformats.org/officeDocument/2006/relationships/hyperlink" Target="https://documentation.gravitee.io/agent-management/build/mcp-proxies/configure-your-mcp" TargetMode="External"/><Relationship Id="rId34" Type="http://schemas.openxmlformats.org/officeDocument/2006/relationships/hyperlink" Target="https://documentation.gravitee.io/agent-management/build/mcp-proxies/configure-your-mcp/design/add-policies-to-mcp-server" TargetMode="External"/><Relationship Id="rId35" Type="http://schemas.openxmlformats.org/officeDocument/2006/relationships/hyperlink" Target="https://documentation.gravitee.io/agent-management/build/mcp-proxies/configure-your-mcp/design/add-policies-to-mcp-server/apply-policies-to-tool-invocations" TargetMode="External"/><Relationship Id="rId36" Type="http://schemas.openxmlformats.org/officeDocument/2006/relationships/hyperlink" Target="https://documentation.gravitee.io/agent-management/build/mcp-proxies/configure-your-mcp/design/add-policies-to-mcp-server/govern-mcp-tool-access" TargetMode="External"/><Relationship Id="rId37" Type="http://schemas.openxmlformats.org/officeDocument/2006/relationships/hyperlink" Target="https://documentation.gravitee.io/agent-management/build/a2a-proxies/expose-agent-with-a2a-proxy" TargetMode="External"/><Relationship Id="rId38" Type="http://schemas.openxmlformats.org/officeDocument/2006/relationships/hyperlink" Target="https://documentation.gravitee.io/agent-management/build/a2a-proxies" TargetMode="External"/><Relationship Id="rId39" Type="http://schemas.openxmlformats.org/officeDocument/2006/relationships/hyperlink" Target="https://documentation.gravitee.io/agent-management/import/create-an-agent-identity" TargetMode="External"/><Relationship Id="rId40" Type="http://schemas.openxmlformats.org/officeDocument/2006/relationships/hyperlink" Target="https://documentation.gravitee.io/agent-management/build/manage-subscriptions" TargetMode="External"/><Relationship Id="rId41" Type="http://schemas.openxmlformats.org/officeDocument/2006/relationships/hyperlink" Target="https://documentation.gravitee.io/agent-management" TargetMode="External"/><Relationship Id="rId42" Type="http://schemas.openxmlformats.org/officeDocument/2006/relationships/hyperlink" Target="https://documentation.gravitee.io/agent-management/observe/dashboards/monitor-your-llm-proxy" TargetMode="External"/><Relationship Id="rId43" Type="http://schemas.openxmlformats.org/officeDocument/2006/relationships/hyperlink" Target="https://documentation.gravitee.io/agent-management/observe/dashboards/monitor-your-mcp-servers" TargetMode="External"/><Relationship Id="rId44" Type="http://schemas.openxmlformats.org/officeDocument/2006/relationships/hyperlink" Target="https://documentation.gravitee.io/agent-management/observe/logs" TargetMode="External"/><Relationship Id="rId45" Type="http://schemas.openxmlformats.org/officeDocument/2006/relationships/hyperlink" Target="https://documentation.gravitee.io/agent-management/observe/dashboards/monitor-ai-gateway-from-devices" TargetMode="External"/><Relationship Id="rId46" Type="http://schemas.openxmlformats.org/officeDocument/2006/relationships/hyperlink" Target="https://documentation.gravitee.io/agent-management/import/add-an-mcp-registry" TargetMode="External"/><Relationship Id="rId47" Type="http://schemas.openxmlformats.org/officeDocument/2006/relationships/hyperlink" Target="https://github.com/gravitee-io/gravitee-platform-docs/blob/main/docs/gamma/4.12/agent-management/SUMMARY.md" TargetMode="External"/><Relationship Id="rId48" Type="http://schemas.openxmlformats.org/officeDocument/2006/relationships/hyperlink" Target="https://documentation.gravitee.io/agent-management/im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Gravitee EE 4.12 — Agent Management: каталог AI-функций (сокращённый)</dc:title>
  <dc:subject>Сокращённая редакция исходного каталога: все функции, ограничения, patch-границы и roadmap</dc:subject>
  <dc:creator/>
  <cp:keywords>Gravitee, EE, 4.12, Agent Management, LLM, MCP, A2A,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