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</w:pPr>
      <w:r>
        <w:rPr>
          <w:b/>
          <w:color w:val="497886"/>
          <w:sz w:val="22"/>
        </w:rPr>
        <w:t>ТЕХНОЛОГИЧЕСКОЕ ИССЛЕДОВАНИЕ</w:t>
      </w:r>
    </w:p>
    <w:p>
      <w:pPr>
        <w:pStyle w:val="Title"/>
        <w:spacing w:after="300"/>
      </w:pPr>
      <w:r>
        <w:t>Gravitee APIM EE</w:t>
        <w:br/>
        <w:t>4.12.17</w:t>
      </w:r>
    </w:p>
    <w:p>
      <w:pPr>
        <w:pStyle w:val="Subtitle"/>
      </w:pPr>
      <w:r>
        <w:t>AI-возможности, ограничения</w:t>
        <w:br/>
        <w:t>и условия внедрения</w:t>
      </w:r>
    </w:p>
    <w:p>
      <w:pPr>
        <w:spacing w:before="400" w:after="640"/>
      </w:pPr>
      <w:r>
        <w:rPr>
          <w:sz w:val="26"/>
        </w:rPr>
        <w:t>LLM Proxy • MCP • A2A</w:t>
        <w:br/>
        <w:t>Контроль потребления • PII • Guard Rails</w:t>
        <w:br/>
        <w:t>Semantic Caching • Наблюдаемость</w:t>
      </w:r>
    </w:p>
    <w:p>
      <w:r>
        <w:t>17 сентября 2026 года</w:t>
      </w:r>
    </w:p>
    <w:p>
      <w:r>
        <w:rPr>
          <w:color w:val="526373"/>
          <w:sz w:val="21"/>
        </w:rPr>
        <w:t>Фокус: self-hosted корпоративная платформа и существующие HTTP API.</w:t>
        <w:br/>
        <w:t>Основа проверки: релизный POM 4.12.17 и официальная документация, в том числе ее состояние на дату выпуска релиза.</w:t>
      </w:r>
    </w:p>
    <w:p>
      <w:pPr>
        <w:pStyle w:val="Heading2"/>
      </w:pPr>
      <w:r>
        <w:t>КЛЮЧЕВОЙ ВЫВОД</w:t>
      </w:r>
    </w:p>
    <w:p>
      <w:r>
        <w:t>Gravitee централизует доступ к моделям, инструментам и агентам, но не заменяет агентную логику, предметную авторизацию и испытания безопасности.</w:t>
      </w:r>
    </w:p>
    <w:p>
      <w:r>
        <w:br w:type="page"/>
      </w:r>
    </w:p>
    <w:p>
      <w:pPr>
        <w:pStyle w:val="Heading1"/>
      </w:pPr>
      <w:r>
        <w:t>Резюме</w:t>
      </w:r>
    </w:p>
    <w:p>
      <w:r>
        <w:t>Gravitee EE 4.12.17 имеет смысл рассматривать как центральный шлюз доступа к моделям, инструментам и другим агентам. Его основная ценность — не создание искусственного интеллекта, а применение знакомых механизмов APIM к AI-трафику: идентификация потребителя, подписки и планы, ограничения, маршрутизация, наблюдаемость и управление публикацией. В версии присутствуют специализированные LLM Proxy, MCP Proxy и A2A Proxy, генерация MCP-инструментов из OpenAPI, токенные ограничения, PII-фильтрация и семантическое кеширование. [1–3]</w:t>
      </w:r>
    </w:p>
    <w:p>
      <w:r>
        <w:t>Для рассматриваемой корпоративной среды наиболее практичен такой порядок: сначала единая точка доступа к одобренным моделям с учетом потребления; затем несколько безопасных MCP-инструментов поверх существующих API; после этого защитные AI-политики, прошедшие проверку на русскоязычном корпусе. A2A и каталог агентов становятся полезны, когда действительно появляются несколько самостоятельных агентных сервисов.</w:t>
      </w:r>
    </w:p>
    <w:p>
      <w:r>
        <w:t>Главные ограничения, способные изменить решение о внедрении: V2 API с V4 Emulation не равнозначен V4 Proxy API для генерации MCP tools; токенная квота узнает окончательный расход после ответа; потоковый ответ несовместим с полноценной PII-фильтрацией этой политики; совместимость LLM Proxy с Responses API и другими клиентскими форматами неполная. Кроме того, удобная настройка CORS для LLM Proxy появилась только в 4.12.18, а исправление одного из сценариев настройки общих model aliases — в 4.12.19. Нельзя приписывать их 4.12.17. [4, 8, 12, 14, 23]</w:t>
      </w:r>
    </w:p>
    <w:p>
      <w:r>
        <w:rPr>
          <w:b/>
        </w:rPr>
        <w:t>Основной вывод:</w:t>
      </w:r>
      <w:r>
        <w:t xml:space="preserve"> AI-пилот на Gravitee обоснован, но «подключили EE — автоматически получили безопасных агентов» неверно. Продукт дает механизм контроля; конкретные границы доступа, качество моделей-защитников, совместимость клиентов, лимиты и эксплуатационную надежность необходимо доказать испытаниями.</w:t>
      </w:r>
    </w:p>
    <w:p>
      <w:pPr>
        <w:pStyle w:val="Heading1"/>
      </w:pPr>
      <w:r>
        <w:t>1. Границы исследования и надежность выводов</w:t>
      </w:r>
    </w:p>
    <w:p>
      <w:r>
        <w:t>Релиз 4.12.17 опубликован 21 августа 2026 года. Для проверки состава использован POM именно тега 4.12.17, а для описания поведения — официальная документация ветки 4.12, в том числе состояние репозитория документации на 21 августа 2026 года. Исправления последующих patch-релизов выделены отдельно. [1, 23]</w:t>
      </w:r>
    </w:p>
    <w:p>
      <w:r>
        <w:t>Такой подход важен: страница с номером 4.12 может со временем описывать всю поддерживаемую линию, а не исходное состояние конкретного patch-релиза. Дополнительно сверены руководства отдельных политик и их совместимость с типами API. Наличие плагина в составе релиза не означает наличие соответствующего разрешения в вашей лицензии.</w:t>
      </w:r>
    </w:p>
    <w:p>
      <w:r>
        <w:t>В этом отчете документально подтвержденные возможности отделены от рекомендаций по архитектуре и тестированию. Лицензионный файл, коммерческое предложение, ваши фактические Docker images и платные исходники AI-reactor не исследовались. Нагрузочные испытания и проверка на корпоративных моделях не проводились. Поэтому отчет не является сертификатом совместимости конкретного образа или заменой приемки.</w:t>
      </w:r>
    </w:p>
    <w:p>
      <w:pPr>
        <w:pStyle w:val="Heading1"/>
      </w:pPr>
      <w:r>
        <w:t>2. Где Gravitee находится в AI-архитектуре</w:t>
      </w:r>
    </w:p>
    <w:p>
      <w:r>
        <w:t>В обычном APIM-сценарии потребитель вызывает бизнес-API через шлюз. В AI-сценариях добавляются три направления: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1E8"/>
          <w:left w:val="single" w:sz="4" w:color="D6E1E8"/>
          <w:bottom w:val="single" w:sz="4" w:color="D6E1E8"/>
          <w:right w:val="single" w:sz="4" w:color="D6E1E8"/>
          <w:insideH w:val="single" w:sz="4" w:color="D6E1E8"/>
          <w:insideV w:val="single" w:sz="4" w:color="D6E1E8"/>
        </w:tblBorders>
      </w:tblPr>
      <w:tblGrid>
        <w:gridCol w:w="2324"/>
        <w:gridCol w:w="3402"/>
        <w:gridCol w:w="3969"/>
      </w:tblGrid>
      <w:tr>
        <w:trPr>
          <w:tblHeader/>
          <w:cantSplit/>
        </w:trPr>
        <w:tc>
          <w:tcPr>
            <w:tcW w:type="dxa" w:w="2324"/>
            <w:vAlign w:val="center"/>
            <w:shd w:fill="18374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60" w:before="60" w:line="250" w:lineRule="auto"/>
            </w:pPr>
            <w:r>
              <w:rPr>
                <w:b/>
                <w:color w:val="FFFFFF"/>
                <w:sz w:val="19"/>
              </w:rPr>
              <w:t>Направление</w:t>
            </w:r>
          </w:p>
        </w:tc>
        <w:tc>
          <w:tcPr>
            <w:tcW w:type="dxa" w:w="3402"/>
            <w:vAlign w:val="center"/>
            <w:shd w:fill="18374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60" w:before="60" w:line="250" w:lineRule="auto"/>
            </w:pPr>
            <w:r>
              <w:rPr>
                <w:b/>
                <w:color w:val="FFFFFF"/>
                <w:sz w:val="19"/>
              </w:rPr>
              <w:t>Что проходит через Gravitee</w:t>
            </w:r>
          </w:p>
        </w:tc>
        <w:tc>
          <w:tcPr>
            <w:tcW w:type="dxa" w:w="3969"/>
            <w:vAlign w:val="center"/>
            <w:shd w:fill="18374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60" w:before="60" w:line="250" w:lineRule="auto"/>
            </w:pPr>
            <w:r>
              <w:rPr>
                <w:b/>
                <w:color w:val="FFFFFF"/>
                <w:sz w:val="19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LLM Proxy</w:t>
            </w:r>
          </w:p>
        </w:tc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Запросы приложения или агента к модели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Общая точка доступа, унификация форматов, политики и учет токенов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MCP</w:t>
            </w:r>
          </w:p>
        </w:tc>
        <w:tc>
          <w:tcPr>
            <w:tcW w:type="dxa" w:w="3402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Обнаружение и вызов инструментов, ресурсов и prompts</w:t>
            </w:r>
          </w:p>
        </w:tc>
        <w:tc>
          <w:tcPr>
            <w:tcW w:type="dxa" w:w="3969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Доступ агентов к функциям корпоративных систем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A2A</w:t>
            </w:r>
          </w:p>
        </w:tc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Обмен сообщениями и задачами между агентами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Управляемый доступ к самостоятельным агентным сервисам</w:t>
            </w:r>
          </w:p>
        </w:tc>
      </w:tr>
    </w:tbl>
    <w:p>
      <w:pPr>
        <w:spacing w:after="20"/>
      </w:pPr>
    </w:p>
    <w:p>
      <w:r>
        <w:t>Это разные задачи. Вызов модели не равен вызову инструмента: модель предлагает действие, а агентная программа решает, какой инструмент вызывать и как использовать его результат. A2A добавляет еще один уровень — делегирование работы другому агентному сервису. Gravitee управляет соответствующими интерфейсами, но не заменяет реализацию самого агента. [3, 14, 17]</w:t>
      </w:r>
    </w:p>
    <w:p>
      <w:r>
        <w:t>Основная LLM и ее GPU-инфраструктура остаются у провайдера или в вашем inference-кластере. При этом небольшие вспомогательные модели для Guard Rails, PII и embeddings могут исполняться на Gateway. Поэтому утверждение «в Gravitee вообще не исполняются AI-модели» тоже было бы неверным. [10, 12, 13]</w:t>
      </w:r>
    </w:p>
    <w:p>
      <w:r>
        <w:t>Не следует считать функциями этого релиза без отдельного подтверждения: обучение LLM, полноценный агентный runtime, универсальный RAG-конвейер с загрузкой документов, долговременную память агентов, автоматическое доказательство правильности ответа и гарантированную защиту от всех prompt injections. Семантический кеш — кеш готовых ответов, а не готовая корпоративная система поиска знаний.</w:t>
      </w:r>
    </w:p>
    <w:p>
      <w:pPr>
        <w:pStyle w:val="Heading1"/>
      </w:pPr>
      <w:r>
        <w:t>3. Карта AI-функций и лицензирование</w:t>
      </w:r>
    </w:p>
    <w:p>
      <w:r>
        <w:t>Обозначение EE не означает «включены все возможности». Gravitee отдельно описывает API Management, Event Management и AI Agent Management; лицензии дают разный набор разрешений. В документации отдельных AI-политик также используется название Agent Mesh. Конкретный состав пакета нужно сверять с vendor и своим license-файлом. [2]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1E8"/>
          <w:left w:val="single" w:sz="4" w:color="D6E1E8"/>
          <w:bottom w:val="single" w:sz="4" w:color="D6E1E8"/>
          <w:right w:val="single" w:sz="4" w:color="D6E1E8"/>
          <w:insideH w:val="single" w:sz="4" w:color="D6E1E8"/>
          <w:insideV w:val="single" w:sz="4" w:color="D6E1E8"/>
        </w:tblBorders>
      </w:tblPr>
      <w:tblGrid>
        <w:gridCol w:w="2324"/>
        <w:gridCol w:w="3402"/>
        <w:gridCol w:w="3969"/>
      </w:tblGrid>
      <w:tr>
        <w:trPr>
          <w:tblHeader/>
          <w:cantSplit/>
        </w:trPr>
        <w:tc>
          <w:tcPr>
            <w:tcW w:type="dxa" w:w="2324"/>
            <w:vAlign w:val="center"/>
            <w:shd w:fill="18374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60" w:before="60" w:line="250" w:lineRule="auto"/>
            </w:pPr>
            <w:r>
              <w:rPr>
                <w:b/>
                <w:color w:val="FFFFFF"/>
                <w:sz w:val="19"/>
              </w:rPr>
              <w:t>Возможность</w:t>
            </w:r>
          </w:p>
        </w:tc>
        <w:tc>
          <w:tcPr>
            <w:tcW w:type="dxa" w:w="3402"/>
            <w:vAlign w:val="center"/>
            <w:shd w:fill="18374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60" w:before="60" w:line="250" w:lineRule="auto"/>
            </w:pPr>
            <w:r>
              <w:rPr>
                <w:b/>
                <w:color w:val="FFFFFF"/>
                <w:sz w:val="19"/>
              </w:rPr>
              <w:t>Статус для оценки 4.12.17</w:t>
            </w:r>
          </w:p>
        </w:tc>
        <w:tc>
          <w:tcPr>
            <w:tcW w:type="dxa" w:w="3969"/>
            <w:vAlign w:val="center"/>
            <w:shd w:fill="18374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60" w:before="60" w:line="250" w:lineRule="auto"/>
            </w:pPr>
            <w:r>
              <w:rPr>
                <w:b/>
                <w:color w:val="FFFFFF"/>
                <w:sz w:val="19"/>
              </w:rPr>
              <w:t>Что требуется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LLM Proxy</w:t>
            </w:r>
          </w:p>
        </w:tc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Enterprise-компонент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Разрешение на LLM Proxy, модель/провайдер и его учетные данные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MCP Proxy</w:t>
            </w:r>
          </w:p>
        </w:tc>
        <w:tc>
          <w:tcPr>
            <w:tcW w:type="dxa" w:w="3402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Enterprise-компонент</w:t>
            </w:r>
          </w:p>
        </w:tc>
        <w:tc>
          <w:tcPr>
            <w:tcW w:type="dxa" w:w="3969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Соответствующий reactor, готовый MCP backend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MCP Tool Server / REST → MCP</w:t>
            </w:r>
          </w:p>
        </w:tc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Enterprise entrypoint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V4 HTTP Proxy API и OpenAPI Specification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MCP ACL</w:t>
            </w:r>
          </w:p>
        </w:tc>
        <w:tc>
          <w:tcPr>
            <w:tcW w:type="dxa" w:w="3402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Enterprise-политика</w:t>
            </w:r>
          </w:p>
        </w:tc>
        <w:tc>
          <w:tcPr>
            <w:tcW w:type="dxa" w:w="3969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MCP Proxy API; отдельные правила доступа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A2A Proxy</w:t>
            </w:r>
          </w:p>
        </w:tc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Enterprise, AI Agent Management pack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A2A-совместимый агент и плагины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Agent Catalog</w:t>
            </w:r>
          </w:p>
        </w:tc>
        <w:tc>
          <w:tcPr>
            <w:tcW w:type="dxa" w:w="3402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Enterprise + Federation</w:t>
            </w:r>
          </w:p>
        </w:tc>
        <w:tc>
          <w:tcPr>
            <w:tcW w:type="dxa" w:w="3969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Agent Cards и настроенная интеграция обнаружения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AI Token Rate Limit</w:t>
            </w:r>
          </w:p>
        </w:tc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Enterprise-плагин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LLM Proxy; достоверные usage-данные и repository счетчиков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PII Filtering</w:t>
            </w:r>
          </w:p>
        </w:tc>
        <w:tc>
          <w:tcPr>
            <w:tcW w:type="dxa" w:w="3402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Enterprise, Agent Mesh</w:t>
            </w:r>
          </w:p>
        </w:tc>
        <w:tc>
          <w:tcPr>
            <w:tcW w:type="dxa" w:w="3969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Политика и AI Model Token Classification resource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AI Semantic Caching</w:t>
            </w:r>
          </w:p>
        </w:tc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Enterprise / Agent Mesh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LLM Proxy, embedding resource и vector store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AI Prompt Guard Rails</w:t>
            </w:r>
          </w:p>
        </w:tc>
        <w:tc>
          <w:tcPr>
            <w:tcW w:type="dxa" w:w="3402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Community-плагин в составе проекта</w:t>
            </w:r>
          </w:p>
        </w:tc>
        <w:tc>
          <w:tcPr>
            <w:tcW w:type="dxa" w:w="3969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AI Model Text Classification; права на выбранные модели отдельно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AI Prompt Token Tracking</w:t>
            </w:r>
          </w:p>
        </w:tc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Community-плагин в составе проекта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Настройка извлечения usage и при необходимости расчетных цен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LLM/MCP dashboards</w:t>
            </w:r>
          </w:p>
        </w:tc>
        <w:tc>
          <w:tcPr>
            <w:tcW w:type="dxa" w:w="3402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Документированы для линии 4.12</w:t>
            </w:r>
          </w:p>
        </w:tc>
        <w:tc>
          <w:tcPr>
            <w:tcW w:type="dxa" w:w="3969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Сбор соответствующих metrics, права на dashboards; entitlement уточнить</w:t>
            </w:r>
          </w:p>
        </w:tc>
      </w:tr>
    </w:tbl>
    <w:p>
      <w:pPr>
        <w:spacing w:after="20"/>
      </w:pPr>
    </w:p>
    <w:p>
      <w:r>
        <w:t xml:space="preserve">Классификация reactor и политик проверена по точному POM; для PII, A2A, semantic caching и каталога имеются дополнительные явные лицензионные требования в руководствах. В частности, PII требует feature-разрешения </w:t>
      </w:r>
      <w:r>
        <w:rPr>
          <w:rStyle w:val="CodeInline"/>
        </w:rPr>
        <w:t>apim-policy-pii-filtering</w:t>
      </w:r>
      <w:r>
        <w:t xml:space="preserve"> и </w:t>
      </w:r>
      <w:r>
        <w:rPr>
          <w:rStyle w:val="CodeInline"/>
        </w:rPr>
        <w:t>apim-ai-resource-token-classification</w:t>
      </w:r>
      <w:r>
        <w:t>. Community-классификация Guard Rails и Token Tracking не делает бесплатными LLM Proxy, коммерческую поддержку, внешние модели или их инфраструктуру. [1, 2, 12, 13, 17, 18]</w:t>
      </w:r>
    </w:p>
    <w:p>
      <w:r>
        <w:t>Отдельный расход — inference основной модели, embedding-сервис, vector store и аналитическое хранилище. Они не становятся включенными в стоимость лицензии только потому, что используются через Gravitee.</w:t>
      </w:r>
    </w:p>
    <w:p>
      <w:pPr>
        <w:pStyle w:val="Heading1"/>
      </w:pPr>
      <w:r>
        <w:t>4. LLM Proxy: единая точка доступа к моделям</w:t>
      </w:r>
    </w:p>
    <w:p>
      <w:pPr>
        <w:pStyle w:val="Heading2"/>
      </w:pPr>
      <w:r>
        <w:t>4.1. Что делает специализированный proxy</w:t>
      </w:r>
    </w:p>
    <w:p>
      <w:r>
        <w:t>LLM Proxy принимает запрос от клиента, определяет провайдера и модель, применяет поддерживаемые политики, при необходимости преобразует формат и передает запрос backend. Ответ возвращается клиенту с необходимым преобразованием. Поддерживаются текстовые запросы, потоковая выдача и отдельные embedding-сценарии. [3, 4]</w:t>
      </w:r>
    </w:p>
    <w:p>
      <w:r>
        <w:t>Для компании это дает единый интерфейс вместо отдельных интеграций каждой команды с несколькими поставщиками. Можно завести разные приложения-потребители, управлять их доступом и не раздавать всем один общий upstream API key. Это снижает связность клиентского кода и конкретного backend, но не устраняет различия качества, лимитов и семантики моделей.</w:t>
      </w:r>
    </w:p>
    <w:p>
      <w:r>
        <w:t>Пример архитектуры: внутренний помощник и агент разработки обращаются к корпоративному AI Gateway. Одной группе разрешена внутренняя модель, другой — согласованный внешний provider. На Gateway действуют разные планы, токенные ограничения и правила обработки данных. Это рекомендуемая схема, а не автоматически создаваемая топология.</w:t>
      </w:r>
    </w:p>
    <w:p>
      <w:pPr>
        <w:pStyle w:val="Heading2"/>
      </w:pPr>
      <w:r>
        <w:t>4.2. Поддерживаемые backend-провайдеры</w:t>
      </w:r>
    </w:p>
    <w:p>
      <w:r>
        <w:t xml:space="preserve">В документации, существовавшей до выпуска 4.12.17, перечислены OpenAI, OpenAI-compatible, Google Gemini, AWS Bedrock Converse, Anthropic и Vertex AI с publisher Google либо Anthropic. Для </w:t>
      </w:r>
      <w:r>
        <w:rPr>
          <w:rStyle w:val="CodeInline"/>
        </w:rPr>
        <w:t>/chat/completions</w:t>
      </w:r>
      <w:r>
        <w:t xml:space="preserve"> и </w:t>
      </w:r>
      <w:r>
        <w:rPr>
          <w:rStyle w:val="CodeInline"/>
        </w:rPr>
        <w:t>/responses</w:t>
      </w:r>
      <w:r>
        <w:t xml:space="preserve"> приведена матрица поддержки; </w:t>
      </w:r>
      <w:r>
        <w:rPr>
          <w:rStyle w:val="CodeInline"/>
        </w:rPr>
        <w:t>/embeddings</w:t>
      </w:r>
      <w:r>
        <w:t xml:space="preserve"> не поддерживается для Anthropic и Anthropic через Vertex AI. [3]</w:t>
      </w:r>
    </w:p>
    <w:p>
      <w:r>
        <w:t>Для собственного inference-сервера особенно интересен OpenAI-compatible provider: указываются согласованный base URL и параметры модели. Но совместимость определяется HTTP-контрактом сервера, а не названием модели. Нельзя обещать работоспособность любого self-hosted LLM endpoint без проверки конкретных методов, stream-формата, tool calls, usage и нестандартных параметров. [5]</w:t>
      </w:r>
    </w:p>
    <w:p>
      <w:pPr>
        <w:pStyle w:val="Heading2"/>
      </w:pPr>
      <w:r>
        <w:t>4.3. Форматы клиентов и важные ограничения</w:t>
      </w:r>
    </w:p>
    <w:p>
      <w:r>
        <w:t>На входе документированы OpenAI Chat Completions, Responses, Embeddings и Models; Anthropic Messages и token counting; Gemini generateContent и streamGenerateContent. Нормализация использует OpenAI-формат как промежуточный. Именно здесь возникают ограничения, которые важнее формальной галочки «provider supported». [4]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1E8"/>
          <w:left w:val="single" w:sz="4" w:color="D6E1E8"/>
          <w:bottom w:val="single" w:sz="4" w:color="D6E1E8"/>
          <w:right w:val="single" w:sz="4" w:color="D6E1E8"/>
          <w:insideH w:val="single" w:sz="4" w:color="D6E1E8"/>
          <w:insideV w:val="single" w:sz="4" w:color="D6E1E8"/>
        </w:tblBorders>
      </w:tblPr>
      <w:tblGrid>
        <w:gridCol w:w="6066"/>
        <w:gridCol w:w="3628"/>
      </w:tblGrid>
      <w:tr>
        <w:trPr>
          <w:tblHeader/>
          <w:cantSplit/>
        </w:trPr>
        <w:tc>
          <w:tcPr>
            <w:tcW w:type="dxa" w:w="6066"/>
            <w:vAlign w:val="center"/>
            <w:shd w:fill="18374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60" w:before="60" w:line="250" w:lineRule="auto"/>
            </w:pPr>
            <w:r>
              <w:rPr>
                <w:b/>
                <w:color w:val="FFFFFF"/>
                <w:sz w:val="19"/>
              </w:rPr>
              <w:t>Сценарий</w:t>
            </w:r>
          </w:p>
        </w:tc>
        <w:tc>
          <w:tcPr>
            <w:tcW w:type="dxa" w:w="3628"/>
            <w:vAlign w:val="center"/>
            <w:shd w:fill="18374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60" w:before="60" w:line="250" w:lineRule="auto"/>
            </w:pPr>
            <w:r>
              <w:rPr>
                <w:b/>
                <w:color w:val="FFFFFF"/>
                <w:sz w:val="19"/>
              </w:rPr>
              <w:t>Что важно в 4.12.17</w:t>
            </w:r>
          </w:p>
        </w:tc>
      </w:tr>
      <w:tr>
        <w:trPr>
          <w:cantSplit/>
        </w:trPr>
        <w:tc>
          <w:tcPr>
            <w:tcW w:type="dxa" w:w="60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Обычный text chat</w:t>
            </w:r>
          </w:p>
        </w:tc>
        <w:tc>
          <w:tcPr>
            <w:tcW w:type="dxa" w:w="362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Основной сценарий; поддержка параметров зависит от provider mapper</w:t>
            </w:r>
          </w:p>
        </w:tc>
      </w:tr>
      <w:tr>
        <w:trPr>
          <w:cantSplit/>
        </w:trPr>
        <w:tc>
          <w:tcPr>
            <w:tcW w:type="dxa" w:w="6066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Tool calling</w:t>
            </w:r>
          </w:p>
        </w:tc>
        <w:tc>
          <w:tcPr>
            <w:tcW w:type="dxa" w:w="3628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Явно документирован для Chat Completions; проверять schema и streaming аргументов</w:t>
            </w:r>
          </w:p>
        </w:tc>
      </w:tr>
      <w:tr>
        <w:trPr>
          <w:cantSplit/>
        </w:trPr>
        <w:tc>
          <w:tcPr>
            <w:tcW w:type="dxa" w:w="60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rStyle w:val="CodeInline"/>
                <w:sz w:val="19"/>
              </w:rPr>
              <w:t>/responses</w:t>
            </w:r>
            <w:r>
              <w:rPr>
                <w:sz w:val="19"/>
              </w:rPr>
              <w:t xml:space="preserve"> и история</w:t>
            </w:r>
          </w:p>
        </w:tc>
        <w:tc>
          <w:tcPr>
            <w:tcW w:type="dxa" w:w="362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 xml:space="preserve">Документация описывает stateless-режим: </w:t>
            </w:r>
            <w:r>
              <w:rPr>
                <w:rStyle w:val="CodeInline"/>
                <w:sz w:val="19"/>
              </w:rPr>
              <w:t>previous_response_id</w:t>
            </w:r>
            <w:r>
              <w:rPr>
                <w:sz w:val="19"/>
              </w:rPr>
              <w:t xml:space="preserve"> удаляется; историю нужно передавать явно</w:t>
            </w:r>
          </w:p>
        </w:tc>
      </w:tr>
      <w:tr>
        <w:trPr>
          <w:cantSplit/>
        </w:trPr>
        <w:tc>
          <w:tcPr>
            <w:tcW w:type="dxa" w:w="6066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Преобразование Chat Completions → Responses</w:t>
            </w:r>
          </w:p>
        </w:tc>
        <w:tc>
          <w:tcPr>
            <w:tcW w:type="dxa" w:w="3628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Есть ограничения на choices, tool calls и structured outputs; это не полный эквивалент Responses API</w:t>
            </w:r>
          </w:p>
        </w:tc>
      </w:tr>
      <w:tr>
        <w:trPr>
          <w:cantSplit/>
        </w:trPr>
        <w:tc>
          <w:tcPr>
            <w:tcW w:type="dxa" w:w="60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Gemini-native клиент</w:t>
            </w:r>
          </w:p>
        </w:tc>
        <w:tc>
          <w:tcPr>
            <w:tcW w:type="dxa" w:w="362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Неподдержанные поля нормализации могут удаляться, включая tools и часть generationConfig</w:t>
            </w:r>
          </w:p>
        </w:tc>
      </w:tr>
      <w:tr>
        <w:trPr>
          <w:cantSplit/>
        </w:trPr>
        <w:tc>
          <w:tcPr>
            <w:tcW w:type="dxa" w:w="6066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Gemini-native streaming</w:t>
            </w:r>
          </w:p>
        </w:tc>
        <w:tc>
          <w:tcPr>
            <w:tcW w:type="dxa" w:w="3628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Документация предупреждает, что события могут остаться в Chat Completions stream-формате, а не Gemini</w:t>
            </w:r>
          </w:p>
        </w:tc>
      </w:tr>
      <w:tr>
        <w:trPr>
          <w:cantSplit/>
        </w:trPr>
        <w:tc>
          <w:tcPr>
            <w:tcW w:type="dxa" w:w="60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Multimodal</w:t>
            </w:r>
          </w:p>
        </w:tc>
        <w:tc>
          <w:tcPr>
            <w:tcW w:type="dxa" w:w="362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Нельзя выводить полную поддержку изображений, аудио и видео из поддержки текстового endpoint</w:t>
            </w:r>
          </w:p>
        </w:tc>
      </w:tr>
      <w:tr>
        <w:trPr>
          <w:cantSplit/>
        </w:trPr>
        <w:tc>
          <w:tcPr>
            <w:tcW w:type="dxa" w:w="6066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Новые нестандартные параметры</w:t>
            </w:r>
          </w:p>
        </w:tc>
        <w:tc>
          <w:tcPr>
            <w:tcW w:type="dxa" w:w="3628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Нужна проверка фактического forwarding; не считать поддержку reasoning-параметров гарантированной</w:t>
            </w:r>
          </w:p>
        </w:tc>
      </w:tr>
    </w:tbl>
    <w:p>
      <w:pPr>
        <w:spacing w:after="20"/>
      </w:pPr>
    </w:p>
    <w:p>
      <w:r>
        <w:t>Эти ограничения особенно существенны для coding agents: клиент может использовать не только простой chat, но и Responses API, продолжение сессии, tool calls, изображения и дополнительные поля. Поэтому приемочный тест — это реальный рабочий сеанс выбранного клиента, а не единственный успешный POST. [3, 4]</w:t>
      </w:r>
    </w:p>
    <w:p>
      <w:pPr>
        <w:pStyle w:val="Heading2"/>
      </w:pPr>
      <w:r>
        <w:t>4.4. Управление моделью</w:t>
      </w:r>
    </w:p>
    <w:p>
      <w:r>
        <w:t xml:space="preserve">Для динамического выбора модели документирован атрибут </w:t>
      </w:r>
      <w:r>
        <w:rPr>
          <w:rStyle w:val="CodeInline"/>
        </w:rPr>
        <w:t>llmproxy.model.override</w:t>
      </w:r>
      <w:r>
        <w:t>, который можно выставить в request flow через Assign Attributes и Expression Language. Возможны логические имена/aliases. Это позволяет централизовать выбор модели по доверенному контексту приложения. Это не означает автоматического «умного» выбора самой качественной или дешевой модели без настройки. [7]</w:t>
      </w:r>
    </w:p>
    <w:p>
      <w:r>
        <w:t>Для вашей среды разумно не давать клиенту бесконтрольно выбирать любой provider через произвольный header. Лучше определить разрешенный набор моделей и правила выбора. Например, стандартный помощник работает на внутренней модели, а особый план открывает внешнюю модель только для разрешенных классов данных.</w:t>
      </w:r>
    </w:p>
    <w:p>
      <w:pPr>
        <w:pStyle w:val="Heading1"/>
      </w:pPr>
      <w:r>
        <w:t>5. Токены, ограничения потребления и стоимость</w:t>
      </w:r>
    </w:p>
    <w:p>
      <w:pPr>
        <w:pStyle w:val="Heading2"/>
      </w:pPr>
      <w:r>
        <w:t>5.1. Не путать три разных механизма</w:t>
      </w:r>
    </w:p>
    <w:p>
      <w:r>
        <w:t>Обычный Rate Limit ограничивает число HTTP-запросов. AI Token Rate Limit ограничивает сумму входных и выходных LLM-токенов за окно. Prompt Token Tracking извлекает статистику из ответа и может рассчитывать оценочную стоимость. Ни один из этих механизмов сам по себе не является проверкой качества ответа. [8, 9]</w:t>
      </w:r>
    </w:p>
    <w:p>
      <w:r>
        <w:t xml:space="preserve">В Token Rate Limit доступны окна в секундах и минутах, статический или динамический limit, ключ счетчика по plan/subscription и собственный EL-key. Режимы </w:t>
      </w:r>
      <w:r>
        <w:rPr>
          <w:rStyle w:val="CodeInline"/>
        </w:rPr>
        <w:t>BLOCK_ON_INTERNAL_ERROR</w:t>
      </w:r>
      <w:r>
        <w:t xml:space="preserve">, </w:t>
      </w:r>
      <w:r>
        <w:rPr>
          <w:rStyle w:val="CodeInline"/>
        </w:rPr>
        <w:t>FALLBACK_PASS_THROUGH</w:t>
      </w:r>
      <w:r>
        <w:t xml:space="preserve"> и </w:t>
      </w:r>
      <w:r>
        <w:rPr>
          <w:rStyle w:val="CodeInline"/>
        </w:rPr>
        <w:t>ASYNC_MODE</w:t>
      </w:r>
      <w:r>
        <w:t xml:space="preserve"> определяют поведение при ошибке repository и компромисс между точностью и доступностью. [8]</w:t>
      </w:r>
    </w:p>
    <w:p>
      <w:pPr>
        <w:pStyle w:val="Heading2"/>
      </w:pPr>
      <w:r>
        <w:t>5.2. Почему это не жесткий финансовый предохранитель</w:t>
      </w:r>
    </w:p>
    <w:p>
      <w:r>
        <w:t>Окончательное число токенов известно после обработки запроса и передачи полного ответа. Документация прямо называет это one-request latency. Из этого следует практический риск: несколько параллельно начавшихся запросов способны превысить ожидаемый бюджет до обновления счетчика. Политика не описана как мгновенный останов генерации на N-м токене. [8]</w:t>
      </w:r>
    </w:p>
    <w:p>
      <w:r>
        <w:t>Для контроля затрат я рекомендую сочетать токенный лимит с ограничением числа запросов, максимального размера входа и длины ответа, а также с ограничениями самого inference backend. Для многоузлового Gateway проверить единый счетчик и выбранный режим отказа. Без такого теста «100 тысяч токенов в минуту» остается настройкой, но не доказанным свойством кластера.</w:t>
      </w:r>
    </w:p>
    <w:p>
      <w:pPr>
        <w:pStyle w:val="Heading2"/>
      </w:pPr>
      <w:r>
        <w:t>5.3. Учет стоимости</w:t>
      </w:r>
    </w:p>
    <w:p>
      <w:r>
        <w:t>Prompt Token Tracking поддерживает извлечение usage для нескольких форматов и custom-настройки расположения полей. Можно задать цены входных и выходных токенов за миллион и получать расчетные metrics. Это удобный showback — распределение затрат по приложениям. Но действительная стоимость provider может учитывать cached tokens, reasoning, инструменты, тарификацию запросов и другие правила. Приемка должна сверять метрики с фактическим provider usage, особенно для streaming и client abort. [9]</w:t>
      </w:r>
    </w:p>
    <w:p>
      <w:r>
        <w:t>Если модель собственная, токенный учет все равно полезен: он показывает нагрузку и потребителей. Однако стоимость GPU, простоя, резервирования и эксплуатации не превращается в точный денежный счет автоматически. Это уже ваша модель внутреннего распределения затрат.</w:t>
      </w:r>
    </w:p>
    <w:p>
      <w:pPr>
        <w:pStyle w:val="Heading1"/>
      </w:pPr>
      <w:r>
        <w:t>6. Prompt Guard Rails: дополнительная проверка содержимого</w:t>
      </w:r>
    </w:p>
    <w:p>
      <w:r>
        <w:t xml:space="preserve">Политика запускает AI-классификатор для выбранного содержимого запроса и сравнивает результат с настроенными классами и порогом. В зависимости от модели она может выявлять токсичный контент или попытки prompt injection/jailbreak. Режим </w:t>
      </w:r>
      <w:r>
        <w:rPr>
          <w:rStyle w:val="CodeInline"/>
        </w:rPr>
        <w:t>LOG_REQUEST</w:t>
      </w:r>
      <w:r>
        <w:t xml:space="preserve"> отмечает событие без блокировки; </w:t>
      </w:r>
      <w:r>
        <w:rPr>
          <w:rStyle w:val="CodeInline"/>
        </w:rPr>
        <w:t>BLOCK_REQUEST</w:t>
      </w:r>
      <w:r>
        <w:t xml:space="preserve"> запрещает запрос. Названия классов должны совпадать с labels модели, включая регистр. [10]</w:t>
      </w:r>
    </w:p>
    <w:p>
      <w:r>
        <w:t>В отличие от универсального обещания «Gravitee защитит от prompt injection», реальная конфигурация состоит из выбранной модели, текста для проверки, списка labels, threshold и действия. Проверка только последнего сообщения не эквивалентна проверке всего диалога, retrieval-контекста и результатов инструментов. Это важное ограничение выбранной схемы, которое надо учитывать при проектировании.</w:t>
      </w:r>
    </w:p>
    <w:p>
      <w:r>
        <w:t>Для вашей русскоязычной среды есть конкретная проблема: у описанных Llama Prompt Guard вариантов перечислены восемь языков, и русского среди них нет. Также указан контекст 512 токенов. Это не доказывает нулевое качество на русском, но исключает обоснованное обещание достаточного качества без испытаний. Длинные промпты и смешанные языки нужно проверять отдельно. [10]</w:t>
      </w:r>
    </w:p>
    <w:p>
      <w:r>
        <w:t xml:space="preserve">Модели загружаются при первом использовании, поэтому возникает cold start и дополнительное потребление памяти. Руководство предупреждает о несовместимости ONNX Runtime с обычным Alpine-образом и предлагает Debian-вариант. Для рабочего развертывания нужен закрепленный и проверенный образ нужной версии, а не mutable </w:t>
      </w:r>
      <w:r>
        <w:rPr>
          <w:rStyle w:val="CodeInline"/>
        </w:rPr>
        <w:t>latest</w:t>
      </w:r>
      <w:r>
        <w:t>. В exact plugin descriptor 4.0.1 указаны PROXY, LLM_PROXY и A2A_PROXY request-фазы. [10, 11]</w:t>
      </w:r>
    </w:p>
    <w:p>
      <w:r>
        <w:t>Рекомендуемый старт: на синтетическом и обезличенном корпусе включить наблюдение, измерить ложные срабатывания и пропуски, а затем выбирать классы для блокировки. Политики доступа и подтверждение опасных операций должны работать независимо от AI-классификатора.</w:t>
      </w:r>
    </w:p>
    <w:p>
      <w:pPr>
        <w:pStyle w:val="Heading1"/>
      </w:pPr>
      <w:r>
        <w:t>7. PII Filtering: маскирование персональных данных</w:t>
      </w:r>
    </w:p>
    <w:p>
      <w:r>
        <w:t xml:space="preserve">PII Filtering использует token classification/NER-модель для выделения сущностей и заменяет обнаруженные фрагменты маркером </w:t>
      </w:r>
      <w:r>
        <w:rPr>
          <w:rStyle w:val="CodeInline"/>
        </w:rPr>
        <w:t>[REDACTED]</w:t>
      </w:r>
      <w:r>
        <w:t xml:space="preserve">. Есть request-фаза перед backend и response-фаза перед клиентом; настраиваются категории, confidence threshold и mapping меток модели. Ресурс скачивает/загружает модель и требует доступного для записи каталога </w:t>
      </w:r>
      <w:r>
        <w:rPr>
          <w:rStyle w:val="CodeInline"/>
        </w:rPr>
        <w:t>$GRAVITEE_HOME/models</w:t>
      </w:r>
      <w:r>
        <w:t>. [12]</w:t>
      </w:r>
    </w:p>
    <w:p>
      <w:r>
        <w:t>Практический сценарий: перед отправкой текста внешней LLM маскировать имена, телефоны и адреса электронной почты. Но наличие категории «финансовый идентификатор» в UI не доказывает, что конкретная модель качественно распознает российский паспорт, СНИЛС или номер страхового договора. Это проверяется на вашем тестовом наборе.</w:t>
      </w:r>
    </w:p>
    <w:p>
      <w:pPr>
        <w:pStyle w:val="Heading2"/>
      </w:pPr>
      <w:r>
        <w:t>Критическое ограничение streaming</w:t>
      </w:r>
    </w:p>
    <w:p>
      <w:r>
        <w:t xml:space="preserve">При обнаружении </w:t>
      </w:r>
      <w:r>
        <w:rPr>
          <w:rStyle w:val="CodeInline"/>
        </w:rPr>
        <w:t>stream: true</w:t>
      </w:r>
      <w:r>
        <w:t xml:space="preserve"> поведение документировано следующим образом: с </w:t>
      </w:r>
      <w:r>
        <w:rPr>
          <w:rStyle w:val="CodeInline"/>
        </w:rPr>
        <w:t>skipResponsePayloadFiltering=false</w:t>
      </w:r>
      <w:r>
        <w:t xml:space="preserve"> запрос отклоняется с 400; с </w:t>
      </w:r>
      <w:r>
        <w:rPr>
          <w:rStyle w:val="CodeInline"/>
        </w:rPr>
        <w:t>true</w:t>
      </w:r>
      <w:r>
        <w:t xml:space="preserve"> запрос разрешен, но маскируется только request body, а response body не фильтруется. Нельзя одновременно объявить «у нас включена PII-политика» и считать потоковый ответ защищенным, не проверив этот параметр. [12]</w:t>
      </w:r>
    </w:p>
    <w:p>
      <w:r>
        <w:t>Фильтрация перед provider и маскирование логов — разные задачи. Если сырой request body записан техническим компонентом до применения политики, чувствительный текст уже оказался в другом хранилище. Необходимо проверить весь маршрут: клиент, Gateway, telemetry, cache, provider и agent backend.</w:t>
      </w:r>
    </w:p>
    <w:p>
      <w:r>
        <w:t xml:space="preserve">В документации подтверждено маскирование, но не полноценная обратимая токенизация с защищенным хранилищем соответствий. После замены имени на </w:t>
      </w:r>
      <w:r>
        <w:rPr>
          <w:rStyle w:val="CodeInline"/>
        </w:rPr>
        <w:t>[REDACTED]</w:t>
      </w:r>
      <w:r>
        <w:t xml:space="preserve"> нельзя рассчитывать на автоматическое восстановление исходных данных в результате. Для такого workflow нужен отдельно спроектированный механизм.</w:t>
      </w:r>
    </w:p>
    <w:p>
      <w:pPr>
        <w:pStyle w:val="Heading1"/>
      </w:pPr>
      <w:r>
        <w:t>8. Semantic Caching: когда это экономия, а когда риск</w:t>
      </w:r>
    </w:p>
    <w:p>
      <w:r>
        <w:t>Семантический кеш преобразует запрос в embedding, ищет близкие записи в vector store и при достаточном сходстве возвращает сохраненный ответ без вызова основной LLM. Политика доступна для LLM Proxy и требует embedding resource и vector store. Документированы локальные ONNX-модели, OpenAI и HTTP embedding provider; Redis vector store и AWS S3 Vectors. Обычный Redis для счетчиков или произвольный S3 bucket не следует автоматически считать готовым vector store. [13]</w:t>
      </w:r>
    </w:p>
    <w:p>
      <w:r>
        <w:t>Хороший стартовый сценарий — обезличенные повторяющиеся вопросы по относительно стабильной инструкции. Плохой — текущий статус выплаты, индивидуальный расчет, баланс или ответ, зависящий от конкретных прав пользователя. Похожие фразы не означают одинаковые допустимые ответы.</w:t>
      </w:r>
    </w:p>
    <w:p>
      <w:pPr>
        <w:pStyle w:val="Heading2"/>
      </w:pPr>
      <w:r>
        <w:t>Изоляция и актуальность</w:t>
      </w:r>
    </w:p>
    <w:p>
      <w:r>
        <w:t xml:space="preserve">Политика поддерживает дополнительные параметры контекста; в примере по умолчанию используются API, plan и user-id. Для корпоративного внедрения рекомендую явно проверить tenant, пользователя/приложение, права, модель, версию системного промпта, версию базы знаний и необходимые части истории диалога. Если </w:t>
      </w:r>
      <w:r>
        <w:rPr>
          <w:rStyle w:val="CodeInline"/>
        </w:rPr>
        <w:t>user-id</w:t>
      </w:r>
      <w:r>
        <w:t xml:space="preserve"> не заполнен, текст настройки еще не доказывает пользовательскую изоляцию. [13]</w:t>
      </w:r>
    </w:p>
    <w:p>
      <w:r>
        <w:t xml:space="preserve">Параметр </w:t>
      </w:r>
      <w:r>
        <w:rPr>
          <w:rStyle w:val="CodeInline"/>
        </w:rPr>
        <w:t>encode</w:t>
      </w:r>
      <w:r>
        <w:t xml:space="preserve"> в описанном механизме использует MurmurHash3. Это не шифрование и не защита конфиденциального кеша от чтения. Кеш может содержать body ответа, headers и metadata, поэтому ему нужны самостоятельные правила доступа, срока хранения и удаления. [13]</w:t>
      </w:r>
    </w:p>
    <w:p>
      <w:r>
        <w:t>Подбирать threshold следует на положительных и отрицательных парах запросов. Нужно измерять не только hit rate, но и долю неверных cache hits. Для русскоязычного FAQ проверить multilingual embedding; изменение модели embeddings обычно требует согласованного обновления индекса и кеша.</w:t>
      </w:r>
    </w:p>
    <w:p>
      <w:r>
        <w:t>Экономию следует считать после стоимости embeddings, vector store, дополнительной задержки и эксплуатации. При низкой повторяемости запросов кеш может не окупиться. По этой причине это не первый этап пилота.</w:t>
      </w:r>
    </w:p>
    <w:p>
      <w:pPr>
        <w:pStyle w:val="Heading1"/>
      </w:pPr>
      <w:r>
        <w:t>9. MCP: две разные возможности</w:t>
      </w:r>
    </w:p>
    <w:p>
      <w:pPr>
        <w:pStyle w:val="Heading2"/>
      </w:pPr>
      <w:r>
        <w:t>9.1. Генерация MCP tools из REST/OpenAPI</w:t>
      </w:r>
    </w:p>
    <w:p>
      <w:r>
        <w:t xml:space="preserve">MCP Tool Server дает агенту стандартный интерфейс обнаружения и вызова операций REST API. Gravitee генерирует один инструмент на операцию OpenAPI: имя берется из </w:t>
      </w:r>
      <w:r>
        <w:rPr>
          <w:rStyle w:val="CodeInline"/>
        </w:rPr>
        <w:t>operationId</w:t>
      </w:r>
      <w:r>
        <w:t xml:space="preserve">, описание — из </w:t>
      </w:r>
      <w:r>
        <w:rPr>
          <w:rStyle w:val="CodeInline"/>
        </w:rPr>
        <w:t>summary</w:t>
      </w:r>
      <w:r>
        <w:t>/</w:t>
      </w:r>
      <w:r>
        <w:rPr>
          <w:rStyle w:val="CodeInline"/>
        </w:rPr>
        <w:t>description</w:t>
      </w:r>
      <w:r>
        <w:t>, schema аргументов — из параметров и тела запроса. При отсутствии имен и описаний используются менее выразительные fallback-значения. [14]</w:t>
      </w:r>
    </w:p>
    <w:p>
      <w:r>
        <w:t>Для вашего автодеплоя это естественное расширение: та же спецификация становится контрактом не только для людей и HTTP-клиентов, но и для агентных инструментов. Однако качество OpenAPI здесь прямо влияет на правильность выбора инструмента агентом.</w:t>
      </w:r>
    </w:p>
    <w:p>
      <w:r>
        <w:rPr>
          <w:b/>
        </w:rPr>
        <w:t>Ключевое ограничение для существующего контура:</w:t>
      </w:r>
      <w:r>
        <w:t xml:space="preserve"> функция работает только с V4 Proxy APIs. V2 definition с V4 Emulation Engine остается V2 definition и не удовлетворяет этому требованию. Не обязательно мигрировать все API: можно выбрать небольшую группу и подготовить отдельные V4 Proxy APIs для AI-сценария. [14]</w:t>
      </w:r>
    </w:p>
    <w:p>
      <w:r>
        <w:t>Regenerate Tools заменяет весь набор инструментов, а не сливает изменения. В Console сгенерированные определения доступны только для чтения; изменение имени/описания/schema выполняется через исходный OpenAPI и новую генерацию. Уникальность operationId становится важным CI-правилом. [14]</w:t>
      </w:r>
    </w:p>
    <w:p>
      <w:r>
        <w:t xml:space="preserve">Для первого пилота я предлагаю операции наподобие </w:t>
      </w:r>
      <w:r>
        <w:rPr>
          <w:rStyle w:val="CodeInline"/>
        </w:rPr>
        <w:t>get_ticket_status</w:t>
      </w:r>
      <w:r>
        <w:t xml:space="preserve"> и </w:t>
      </w:r>
      <w:r>
        <w:rPr>
          <w:rStyle w:val="CodeInline"/>
        </w:rPr>
        <w:t>find_api_documentation</w:t>
      </w:r>
      <w:r>
        <w:t xml:space="preserve"> на тестовых данных. Создание заявок, изменение конфигурации APIM и финансовые действия стоит подключать позднее, с отдельными полномочиями и подтверждением там, где это требуется бизнес-процессом.</w:t>
      </w:r>
    </w:p>
    <w:p>
      <w:pPr>
        <w:pStyle w:val="Heading2"/>
      </w:pPr>
      <w:r>
        <w:t>9.2. MCP Proxy перед готовым MCP-сервером</w:t>
      </w:r>
    </w:p>
    <w:p>
      <w:r>
        <w:t>MCP Proxy нужен, когда сервер уже реализован вашей командой или поставщиком. Здесь задача другая: не генерировать инструменты из OpenAPI, а контролировать доступ и наблюдать за существующим MCP-трафиком. Механизмы подключения, авторизация и совместимость клиента должны проверяться именно для выбранного remote transport; поддержка local stdio в клиентском виджете не доказывает, что Gateway проксирует процессы stdio. [1, 16]</w:t>
      </w:r>
    </w:p>
    <w:p>
      <w:pPr>
        <w:pStyle w:val="Heading2"/>
      </w:pPr>
      <w:r>
        <w:t>9.3. MCP ACL: разрешать конкретные действия</w:t>
      </w:r>
    </w:p>
    <w:p>
      <w:r>
        <w:t xml:space="preserve">MCP ACL разделяет tools, resources и prompts, а также получение списка и выполнение операции. Например, можно разрешить только </w:t>
      </w:r>
      <w:r>
        <w:rPr>
          <w:rStyle w:val="CodeInline"/>
        </w:rPr>
        <w:t>tools/list</w:t>
      </w:r>
      <w:r>
        <w:t xml:space="preserve">, но запретить </w:t>
      </w:r>
      <w:r>
        <w:rPr>
          <w:rStyle w:val="CodeInline"/>
        </w:rPr>
        <w:t>tools/call</w:t>
      </w:r>
      <w:r>
        <w:t xml:space="preserve">; либо разрешить listing и call единственного </w:t>
      </w:r>
      <w:r>
        <w:rPr>
          <w:rStyle w:val="CodeInline"/>
        </w:rPr>
        <w:t>get_ticket_status</w:t>
      </w:r>
      <w:r>
        <w:t>. У правил есть trigger condition с Expression Language и pattern имени. Если политика добавлена без правил, действует deny-all; без самой политики такого обещания нет. [15]</w:t>
      </w:r>
    </w:p>
    <w:p>
      <w:r>
        <w:t>Важно: руководство указывает совместимость MCP ACL именно с MCP Proxy. Нельзя без проверки переносить ее на любой V4 REST API с включенным MCP Entrypoint. Для MCP Tool Server необходимо отдельно проверить поддерживаемые политики и ограничения underlying HTTP API. [14, 15]</w:t>
      </w:r>
    </w:p>
    <w:p>
      <w:r>
        <w:t xml:space="preserve">ACL на инструмент не заменяет предметную авторизацию внутри операции. Разрешение вызвать </w:t>
      </w:r>
      <w:r>
        <w:rPr>
          <w:rStyle w:val="CodeInline"/>
        </w:rPr>
        <w:t>get_ticket_status(ticket_id)</w:t>
      </w:r>
      <w:r>
        <w:t xml:space="preserve"> не дает права читать любую заявку по любому ID. Backend должен сохранить проверку владельца/роли; identity нужно передавать и проверять по согласованной схеме.</w:t>
      </w:r>
    </w:p>
    <w:p>
      <w:pPr>
        <w:pStyle w:val="Heading2"/>
      </w:pPr>
      <w:r>
        <w:t>9.4. OAuth2 и регистрация клиентов</w:t>
      </w:r>
    </w:p>
    <w:p>
      <w:r>
        <w:t>Официальный guide показывает MCP Proxy с OAuth2, Gravitee AM и Dynamic Client Registration; есть и сценарии внешнего IdP. Клиент в Authorization Server и приложение/подписка APIM должны быть согласованы. Gravitee AM — отдельная часть платформы, и его наличие нельзя считать автоматически включенным в APIM EE. [16]</w:t>
      </w:r>
    </w:p>
    <w:p>
      <w:r>
        <w:t>Следует отдельно проверять token audience, scopes, discovery URL, регистрацию, refresh, отказ после отзыва доступа и backend credential. Для пилота достаточно одной заранее зарегистрированной интеграции; DCR полезен позже, когда действительно требуется самостоятельное подключение множества клиентов.</w:t>
      </w:r>
    </w:p>
    <w:p>
      <w:pPr>
        <w:pStyle w:val="Heading1"/>
      </w:pPr>
      <w:r>
        <w:t>10. A2A Proxy и Agent Catalog</w:t>
      </w:r>
    </w:p>
    <w:p>
      <w:r>
        <w:t>A2A Proxy предоставляет управляемый интерфейс обращения к уже существующему агенту: клиентский агент отправляет задачу, удаленный агент выполняет ее. В Gravitee это выделенная разновидность API с правилами доступа и наблюдаемостью. Она не запускает агентный код и не превращает обычный REST endpoint в полноценного автономного агента. [17]</w:t>
      </w:r>
    </w:p>
    <w:p>
      <w:r>
        <w:t>В руководстве явно указано breaking change: A2A proxy APIs, созданные до 4.11, не поддерживаются и должны быть пересозданы. В 4.12 описаны HTTP selectors, REQUEST/RESPONSE flow phases и REQUEST_RESPONSE режим endpoint connector. Из общего описания A2A не следует гарантированная поддержка всех новых transport-опций и расширений протокола. [17]</w:t>
      </w:r>
    </w:p>
    <w:p>
      <w:r>
        <w:t>Agent Catalog — отдельный механизм. Через Federation можно обнаруживать Agent Cards по well-known URL и показывать метаданные и возможности агента, даже если трафик к нему не идет через Gateway. Поэтому «агент есть в каталоге» не означает «весь его трафик контролируется Gravitee». [18]</w:t>
      </w:r>
    </w:p>
    <w:p>
      <w:r>
        <w:t>Практический смысл для вас возникнет при наличии нескольких самостоятельных агентов: например, помощник разработки делегирует поиск информации агенту документации или агенту ITSM. До появления таких сервисов A2A не улучшает обычный REST-трафик и не должен быть основным аргументом за приобретение EE.</w:t>
      </w:r>
    </w:p>
    <w:p>
      <w:pPr>
        <w:pStyle w:val="Heading1"/>
      </w:pPr>
      <w:r>
        <w:t>11. Наблюдаемость: что реально измерять</w:t>
      </w:r>
    </w:p>
    <w:p>
      <w:r>
        <w:t>LLM Usage Dashboard показывает число запросов, input/output и суммарные токены, использование моделей, расчетные затраты, стоимость на запрос и распределение HTTP-статусов. MCP Usage Dashboard добавляет частоту методов, наиболее используемые tools/resources/prompts, response time и Gateway latency с percentile-метриками. Для создания и просмотра dashboards нужны соответствующие environment permissions. [19, 20]</w:t>
      </w:r>
    </w:p>
    <w:p>
      <w:r>
        <w:t>Это отвечает на вопросы «кто и сколько потребляет» и «где тормозит интеграция», но не на вопрос «верно ли модель ответила пользователю». Успешный HTTP 200 совместим с галлюцинацией, неверно выбранным инструментом или неполным бизнес-результатом. Для качества AI нужен отдельный eval-набор и проверка результата workflow.</w:t>
      </w:r>
    </w:p>
    <w:p>
      <w:r>
        <w:t>Технические Gateway logs, access/analytics records, traces и полный текст prompt/response — разные виды телеметрии. MDC добавляет контекст к поддерживающим его лог-записям, но не делает любой лог автоматически request trace. Официальная документация предупреждает, что миграция компонентов на contextual logger постепенная. [21]</w:t>
      </w:r>
    </w:p>
    <w:p>
      <w:r>
        <w:t>С учетом ваших предыдущих 499 и ограниченного диска рекомендую по умолчанию хранить метаданные вызова, модель, токены, длительность и error key, а тела включать только для контролируемого диагностического периода. Отдельно испытать прерывание streaming: клиент перестает читать, ресурсы освобождаются, а usage не исчезает и не удваивается. Изменение счета ошибок после upgrade не следует автоматически трактовать как ухудшение трафика.</w:t>
      </w:r>
    </w:p>
    <w:p>
      <w:pPr>
        <w:pStyle w:val="Heading1"/>
      </w:pPr>
      <w:r>
        <w:t>12. Требования к развертыванию</w:t>
      </w:r>
    </w:p>
    <w:p>
      <w:pPr>
        <w:pStyle w:val="Heading2"/>
      </w:pPr>
      <w:r>
        <w:t>12.1. Runtime и плагины</w:t>
      </w:r>
    </w:p>
    <w:p>
      <w:r>
        <w:t>Для APIM 4.12 официальные release notes требуют Java 21 и предупреждают о несовместимости с Java 25 при RPM/ZIP-развертывании. При использовании официального Docker image JRE включен в образ. AI-возможности подключаются компонентами Gateway/Management API, поэтому image tag, состав plugin directory и license features должны быть согласованы. [1, 22]</w:t>
      </w:r>
    </w:p>
    <w:p>
      <w:r>
        <w:t>Точный POM полезен как база сравнения, но образ из внутреннего registry может отличаться после пересборки. Учитывая прежний инцидент с ручной заменой Netty, я рекомендую сохранить digest образа, SBOM и список plugin versions как часть релизного артефакта. Самовольная замена JAR — отдельное изменение, а не «тот же Gravitee с исправленной безопасностью».</w:t>
      </w:r>
    </w:p>
    <w:p>
      <w:pPr>
        <w:pStyle w:val="Heading2"/>
      </w:pPr>
      <w:r>
        <w:t>12.2. Вычисления и хранение</w:t>
      </w:r>
    </w:p>
    <w:p>
      <w:r>
        <w:t>Простой LLM Proxy в основном проксирует трафик. Guard Rails, PII и локальные embeddings добавляют inference и память, а семантический кеш — vector storage. Эти сценарии нужно нагрузочно измерять раздельно: усредненный тест Gateway без AI-политик ничего не говорит о стоимости классификации длинного prompt. [10, 12, 13]</w:t>
      </w:r>
    </w:p>
    <w:p>
      <w:r>
        <w:t>Для закрытого контура заранее определить, как доставляются модели и tokenizer-файлы: через разрешенный registry/artifact repository либо другой согласованный маршрут. Не рассчитывать на скачивание с внешнего хостинга при первом боевом запросе. Проверить права на models directory и подготовить прогрев.</w:t>
      </w:r>
    </w:p>
    <w:p>
      <w:r>
        <w:t>Ваш маленький debug root filesystem непригоден как образец production-sizing. Модели, кеш и Elasticsearch следует вынести на управляемое хранилище с запасом и retention. Не устранять ошибки новых контейнеров выдачей 777, root или постоянным отключением seccomp без согласованной оценки: проблема совместимости runtime должна быть решена отдельно.</w:t>
      </w:r>
    </w:p>
    <w:p>
      <w:pPr>
        <w:pStyle w:val="Heading2"/>
      </w:pPr>
      <w:r>
        <w:t>12.3. Разделение контуров</w:t>
      </w:r>
    </w:p>
    <w:p>
      <w:r>
        <w:t>Рекомендую отдельную группу Gateway для AI-трафика, чтобы cold start модели, long-lived streams и CPU-нагрузка защитных политик не ухудшали обычный APIM-трафик. Общий control plane может сохраниться, если подходят ваша топология, лицензия и требования изоляции. Один из EE-механизмов назначения API определенным Gateway — sharding tags. [2]</w:t>
      </w:r>
    </w:p>
    <w:p>
      <w:r>
        <w:t>Разделение TEST/REGRESS/PROD должно затрагивать не только API names, но и provider credentials, counter namespaces, vector-cache partitions, indexes и доступ к инструментам. Нельзя допускать, чтобы тестовый агент получил рабочую подписку с широкими административными полномочиями.</w:t>
      </w:r>
    </w:p>
    <w:p>
      <w:pPr>
        <w:pStyle w:val="Heading1"/>
      </w:pPr>
      <w:r>
        <w:t>13. Ограничения именно patch-релиза 4.12.17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1E8"/>
          <w:left w:val="single" w:sz="4" w:color="D6E1E8"/>
          <w:bottom w:val="single" w:sz="4" w:color="D6E1E8"/>
          <w:right w:val="single" w:sz="4" w:color="D6E1E8"/>
          <w:insideH w:val="single" w:sz="4" w:color="D6E1E8"/>
          <w:insideV w:val="single" w:sz="4" w:color="D6E1E8"/>
        </w:tblBorders>
      </w:tblPr>
      <w:tblGrid>
        <w:gridCol w:w="2324"/>
        <w:gridCol w:w="3402"/>
        <w:gridCol w:w="3969"/>
      </w:tblGrid>
      <w:tr>
        <w:trPr>
          <w:tblHeader/>
          <w:cantSplit/>
        </w:trPr>
        <w:tc>
          <w:tcPr>
            <w:tcW w:type="dxa" w:w="2324"/>
            <w:vAlign w:val="center"/>
            <w:shd w:fill="18374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60" w:before="60" w:line="250" w:lineRule="auto"/>
            </w:pPr>
            <w:r>
              <w:rPr>
                <w:b/>
                <w:color w:val="FFFFFF"/>
                <w:sz w:val="19"/>
              </w:rPr>
              <w:t>Область</w:t>
            </w:r>
          </w:p>
        </w:tc>
        <w:tc>
          <w:tcPr>
            <w:tcW w:type="dxa" w:w="3402"/>
            <w:vAlign w:val="center"/>
            <w:shd w:fill="18374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60" w:before="60" w:line="250" w:lineRule="auto"/>
            </w:pPr>
            <w:r>
              <w:rPr>
                <w:b/>
                <w:color w:val="FFFFFF"/>
                <w:sz w:val="19"/>
              </w:rPr>
              <w:t>Что подтверждено changelog</w:t>
            </w:r>
          </w:p>
        </w:tc>
        <w:tc>
          <w:tcPr>
            <w:tcW w:type="dxa" w:w="3969"/>
            <w:vAlign w:val="center"/>
            <w:shd w:fill="18374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60" w:before="60" w:line="250" w:lineRule="auto"/>
            </w:pPr>
            <w:r>
              <w:rPr>
                <w:b/>
                <w:color w:val="FFFFFF"/>
                <w:sz w:val="19"/>
              </w:rPr>
              <w:t>Значение для решения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CORS LLM Proxy</w:t>
            </w:r>
          </w:p>
        </w:tc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Настройка добавлена в 4.12.18, issue 11699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Не обещать штатный UI/config сценарий в .17; проверять browser client отдельно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Общие model aliases</w:t>
            </w:r>
          </w:p>
        </w:tc>
        <w:tc>
          <w:tcPr>
            <w:tcW w:type="dxa" w:w="3402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Сценарий невозможности добавить общие aliases в существующую группу исправлен в 4.12.19, issue 11762</w:t>
            </w:r>
          </w:p>
        </w:tc>
        <w:tc>
          <w:tcPr>
            <w:tcW w:type="dxa" w:w="3969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Наличие aliases не гарантирует удобство изменения существующей конфигурации .17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Reused keep-alive connections</w:t>
            </w:r>
          </w:p>
        </w:tc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Исправление класса intermittent 502/no silent retry указано в .18, issue 11702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Не считать .17 свободной от этого класса ошибок; область connector уточнять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Health-check NetClient leak</w:t>
            </w:r>
          </w:p>
        </w:tc>
        <w:tc>
          <w:tcPr>
            <w:tcW w:type="dxa" w:w="3402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Исправление утечки, возникшей после перехода на Vert.x 5, указано в .16</w:t>
            </w:r>
          </w:p>
        </w:tc>
        <w:tc>
          <w:tcPr>
            <w:tcW w:type="dxa" w:w="3969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В штатном .17 это исправление уже ожидается; custom image проверить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Streaming diagnostics</w:t>
            </w:r>
          </w:p>
        </w:tc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Отдельная диагностика досрочно завершенного upstream stream указана в .16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Полезно для LLM/SSE; это диагностика, а не гарантия отсутствия обрывов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Отмена native V4 HTTP proxy</w:t>
            </w:r>
          </w:p>
        </w:tc>
        <w:tc>
          <w:tcPr>
            <w:tcW w:type="dxa" w:w="3402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Исправление удержания pool slot отражено в .3</w:t>
            </w:r>
          </w:p>
        </w:tc>
        <w:tc>
          <w:tcPr>
            <w:tcW w:type="dxa" w:w="3969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Не переносить вывод на V2 Emulation и специализированные reactor без испытания</w:t>
            </w:r>
          </w:p>
        </w:tc>
      </w:tr>
    </w:tbl>
    <w:p>
      <w:pPr>
        <w:spacing w:after="20"/>
      </w:pPr>
    </w:p>
    <w:p>
      <w:r>
        <w:t>Наличие более нового maintenance-релиза не означает автоматической рекомендации «ставить его немедленно». Например, changelog отдельно предупреждает о регрессии Console SSO в .18, исправленной в .19. Для нового пилота разумно обсуждать с поставщиком поддерживаемый patch с учетом необходимых AI-функций, но базой этого отчета остается .17. [23]</w:t>
      </w:r>
    </w:p>
    <w:p>
      <w:pPr>
        <w:pStyle w:val="Heading1"/>
      </w:pPr>
      <w:r>
        <w:t>14. Сценарии внедрения с приоритетами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1E8"/>
          <w:left w:val="single" w:sz="4" w:color="D6E1E8"/>
          <w:bottom w:val="single" w:sz="4" w:color="D6E1E8"/>
          <w:right w:val="single" w:sz="4" w:color="D6E1E8"/>
          <w:insideH w:val="single" w:sz="4" w:color="D6E1E8"/>
          <w:insideV w:val="single" w:sz="4" w:color="D6E1E8"/>
        </w:tblBorders>
      </w:tblPr>
      <w:tblGrid>
        <w:gridCol w:w="2324"/>
        <w:gridCol w:w="3402"/>
        <w:gridCol w:w="3969"/>
      </w:tblGrid>
      <w:tr>
        <w:trPr>
          <w:tblHeader/>
          <w:cantSplit/>
        </w:trPr>
        <w:tc>
          <w:tcPr>
            <w:tcW w:type="dxa" w:w="2324"/>
            <w:vAlign w:val="center"/>
            <w:shd w:fill="18374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60" w:before="60" w:line="250" w:lineRule="auto"/>
            </w:pPr>
            <w:r>
              <w:rPr>
                <w:b/>
                <w:color w:val="FFFFFF"/>
                <w:sz w:val="19"/>
              </w:rPr>
              <w:t>Приоритет</w:t>
            </w:r>
          </w:p>
        </w:tc>
        <w:tc>
          <w:tcPr>
            <w:tcW w:type="dxa" w:w="3402"/>
            <w:vAlign w:val="center"/>
            <w:shd w:fill="18374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60" w:before="60" w:line="250" w:lineRule="auto"/>
            </w:pPr>
            <w:r>
              <w:rPr>
                <w:b/>
                <w:color w:val="FFFFFF"/>
                <w:sz w:val="19"/>
              </w:rPr>
              <w:t>Сценарий</w:t>
            </w:r>
          </w:p>
        </w:tc>
        <w:tc>
          <w:tcPr>
            <w:tcW w:type="dxa" w:w="3969"/>
            <w:vAlign w:val="center"/>
            <w:shd w:fill="18374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60" w:before="60" w:line="250" w:lineRule="auto"/>
            </w:pPr>
            <w:r>
              <w:rPr>
                <w:b/>
                <w:color w:val="FFFFFF"/>
                <w:sz w:val="19"/>
              </w:rPr>
              <w:t>Измеримый результат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1</w:t>
            </w:r>
          </w:p>
        </w:tc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Единый endpoint к одобренной внутренней LLM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Два приложения имеют отдельный доступ и раздельный usage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1</w:t>
            </w:r>
          </w:p>
        </w:tc>
        <w:tc>
          <w:tcPr>
            <w:tcW w:type="dxa" w:w="3402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Token tracking + token/request limits</w:t>
            </w:r>
          </w:p>
        </w:tc>
        <w:tc>
          <w:tcPr>
            <w:tcW w:type="dxa" w:w="3969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Потребление сопоставлено с backend; проверен отказ repository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2</w:t>
            </w:r>
          </w:p>
        </w:tc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2–3 read-only MCP tools для ITSM/документации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Агент видит и вызывает только разрешенные операции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2</w:t>
            </w:r>
          </w:p>
        </w:tc>
        <w:tc>
          <w:tcPr>
            <w:tcW w:type="dxa" w:w="3402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Prompt Guard Rails в режиме наблюдения</w:t>
            </w:r>
          </w:p>
        </w:tc>
        <w:tc>
          <w:tcPr>
            <w:tcW w:type="dxa" w:w="3969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Есть измеренные false positives/false negatives на русском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2</w:t>
            </w:r>
          </w:p>
        </w:tc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PII для non-streaming сценария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Синтетические персональные данные не доходят до backend там, где требуется маскирование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3</w:t>
            </w:r>
          </w:p>
        </w:tc>
        <w:tc>
          <w:tcPr>
            <w:tcW w:type="dxa" w:w="3402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Semantic cache для обезличенного FAQ</w:t>
            </w:r>
          </w:p>
        </w:tc>
        <w:tc>
          <w:tcPr>
            <w:tcW w:type="dxa" w:w="3969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Подтверждены правильные hits, TTL и изоляция, посчитана чистая экономия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4</w:t>
            </w:r>
          </w:p>
        </w:tc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A2A + Agent Catalog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Два существующих агентных сервиса взаимодействуют с отдельными правами и audit</w:t>
            </w:r>
          </w:p>
        </w:tc>
      </w:tr>
    </w:tbl>
    <w:p>
      <w:pPr>
        <w:spacing w:after="20"/>
      </w:pPr>
    </w:p>
    <w:p>
      <w:r>
        <w:t>Эти приоритеты — инженерная рекомендация для вашей ситуации, а не порядок, навязанный продуктом. Главная идея: сначала доказать надежность транспортного и access-control слоя, затем добавлять вероятностные AI-проверки и оптимизации.</w:t>
      </w:r>
    </w:p>
    <w:p>
      <w:pPr>
        <w:pStyle w:val="Heading1"/>
      </w:pPr>
      <w:r>
        <w:t>15. Приемочные испытания пилота</w:t>
      </w:r>
    </w:p>
    <w:p>
      <w:r>
        <w:t>Пилот не должен считаться успешным только потому, что контейнеры запустились и один chat-запрос дал 200. Предлагаю следующие критерии; конкретные SLA и нагрузку нужно согласовать с владельцами сервисов.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1E8"/>
          <w:left w:val="single" w:sz="4" w:color="D6E1E8"/>
          <w:bottom w:val="single" w:sz="4" w:color="D6E1E8"/>
          <w:right w:val="single" w:sz="4" w:color="D6E1E8"/>
          <w:insideH w:val="single" w:sz="4" w:color="D6E1E8"/>
          <w:insideV w:val="single" w:sz="4" w:color="D6E1E8"/>
        </w:tblBorders>
      </w:tblPr>
      <w:tblGrid>
        <w:gridCol w:w="2324"/>
        <w:gridCol w:w="3402"/>
        <w:gridCol w:w="3969"/>
      </w:tblGrid>
      <w:tr>
        <w:trPr>
          <w:tblHeader/>
          <w:cantSplit/>
        </w:trPr>
        <w:tc>
          <w:tcPr>
            <w:tcW w:type="dxa" w:w="2324"/>
            <w:vAlign w:val="center"/>
            <w:shd w:fill="18374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60" w:before="60" w:line="250" w:lineRule="auto"/>
            </w:pPr>
            <w:r>
              <w:rPr>
                <w:b/>
                <w:color w:val="FFFFFF"/>
                <w:sz w:val="19"/>
              </w:rPr>
              <w:t>Испытание</w:t>
            </w:r>
          </w:p>
        </w:tc>
        <w:tc>
          <w:tcPr>
            <w:tcW w:type="dxa" w:w="3402"/>
            <w:vAlign w:val="center"/>
            <w:shd w:fill="18374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60" w:before="60" w:line="250" w:lineRule="auto"/>
            </w:pPr>
            <w:r>
              <w:rPr>
                <w:b/>
                <w:color w:val="FFFFFF"/>
                <w:sz w:val="19"/>
              </w:rPr>
              <w:t>Что проверяем</w:t>
            </w:r>
          </w:p>
        </w:tc>
        <w:tc>
          <w:tcPr>
            <w:tcW w:type="dxa" w:w="3969"/>
            <w:vAlign w:val="center"/>
            <w:shd w:fill="18374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60" w:before="60" w:line="250" w:lineRule="auto"/>
            </w:pPr>
            <w:r>
              <w:rPr>
                <w:b/>
                <w:color w:val="FFFFFF"/>
                <w:sz w:val="19"/>
              </w:rPr>
              <w:t>Условие приемки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Лицензия и плагины</w:t>
            </w:r>
          </w:p>
        </w:tc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AI API создается, deploy проходит, нужный reactor реально загружен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Нет скрытого обхода license gate или неполного состава образа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Изоляция клиентов</w:t>
            </w:r>
          </w:p>
        </w:tc>
        <w:tc>
          <w:tcPr>
            <w:tcW w:type="dxa" w:w="3402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Приложения A/B с разными подписками</w:t>
            </w:r>
          </w:p>
        </w:tc>
        <w:tc>
          <w:tcPr>
            <w:tcW w:type="dxa" w:w="3969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Чужой план, модель и инструмент недоступны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Клиентская совместимость</w:t>
            </w:r>
          </w:p>
        </w:tc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Реальный SDK/агент: multi-turn, stream, tool call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Сохраняется смысл запроса и структура результата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Дополнительные параметры</w:t>
            </w:r>
          </w:p>
        </w:tc>
        <w:tc>
          <w:tcPr>
            <w:tcW w:type="dxa" w:w="3402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reasoning, JSON schema, custom headers</w:t>
            </w:r>
          </w:p>
        </w:tc>
        <w:tc>
          <w:tcPr>
            <w:tcW w:type="dxa" w:w="3969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Известно, что передается, преобразуется или удаляется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Token accounting</w:t>
            </w:r>
          </w:p>
        </w:tc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Обычный ответ, SSE, cancellation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Расхождения с provider измерены и объяснены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Multi-node limits</w:t>
            </w:r>
          </w:p>
        </w:tc>
        <w:tc>
          <w:tcPr>
            <w:tcW w:type="dxa" w:w="3402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Параллельные запросы через два Gateway</w:t>
            </w:r>
          </w:p>
        </w:tc>
        <w:tc>
          <w:tcPr>
            <w:tcW w:type="dxa" w:w="3969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Поведение и возможный перерасход укладываются в согласованную модель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Отказ counters</w:t>
            </w:r>
          </w:p>
        </w:tc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Repository временно недоступен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Реализуется выбранный fail-open/fail-closed режим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PII и streaming</w:t>
            </w:r>
          </w:p>
        </w:tc>
        <w:tc>
          <w:tcPr>
            <w:tcW w:type="dxa" w:w="3402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Синтетические данные, stream=true/false</w:t>
            </w:r>
          </w:p>
        </w:tc>
        <w:tc>
          <w:tcPr>
            <w:tcW w:type="dxa" w:w="3969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Проверено отсутствие обещаний о фильтрации незащищенного stream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Guard Rails</w:t>
            </w:r>
          </w:p>
        </w:tc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Русский, смешанные языки, длинный контекст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Измерено качество и стоимость, выбран режим действия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MCP ACL</w:t>
            </w:r>
          </w:p>
        </w:tc>
        <w:tc>
          <w:tcPr>
            <w:tcW w:type="dxa" w:w="3402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Listing и call разрешенных/запрещенных tools</w:t>
            </w:r>
          </w:p>
        </w:tc>
        <w:tc>
          <w:tcPr>
            <w:tcW w:type="dxa" w:w="3969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Нет обхода через прямой tools/call скрытого инструмента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Backend authorization</w:t>
            </w:r>
          </w:p>
        </w:tc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Подмена идентификатора заявки/объекта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Доступ проверяется на предметном уровне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Cache isolation</w:t>
            </w:r>
          </w:p>
        </w:tc>
        <w:tc>
          <w:tcPr>
            <w:tcW w:type="dxa" w:w="3402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Сходный prompt разных пользователей/tenants</w:t>
            </w:r>
          </w:p>
        </w:tc>
        <w:tc>
          <w:tcPr>
            <w:tcW w:type="dxa" w:w="3969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Ответ и metadata не переходят между контекстами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Network resilience</w:t>
            </w:r>
          </w:p>
        </w:tc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Таймаут, reset, медленный backend, отмена, redeploy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Нет зависших streams, постоянной потери slots и неконтролируемых retries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Нагрузка и диск</w:t>
            </w:r>
          </w:p>
        </w:tc>
        <w:tc>
          <w:tcPr>
            <w:tcW w:type="dxa" w:w="3402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Прогретые/холодные модели, telemetry, retention</w:t>
            </w:r>
          </w:p>
        </w:tc>
        <w:tc>
          <w:tcPr>
            <w:tcW w:type="dxa" w:w="3969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Достаточный запас CPU/RAM/disk и прогноз роста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Rollback</w:t>
            </w:r>
          </w:p>
        </w:tc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Возврат routing на прежнюю конфигурацию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План проверен; учитывает совместимость данных, а не только смену image tag</w:t>
            </w:r>
          </w:p>
        </w:tc>
      </w:tr>
    </w:tbl>
    <w:p>
      <w:pPr>
        <w:spacing w:after="20"/>
      </w:pPr>
    </w:p>
    <w:p>
      <w:r>
        <w:t>Производительность сравнивать на одинаковом backend и сценариях: Gateway без AI-политик, затем с Guard Rails, затем с PII и cache. Полезны p50/p95/p99 полной задержки, time-to-first-token, длительность stream, ошибки клиентов, CPU, heap/native memory и число активных соединений. Это позволяет отделить стоимость модели от стоимости контроля.</w:t>
      </w:r>
    </w:p>
    <w:p>
      <w:pPr>
        <w:pStyle w:val="Heading1"/>
      </w:pPr>
      <w:r>
        <w:t>16. Дополнительные EE-возможности, полезные вокруг AI</w:t>
      </w:r>
    </w:p>
    <w:p>
      <w:r>
        <w:t>Помимо AI-плагинов, важны custom roles и SSO для администраторов, Audit Trail для изменений платформы, sharding tags для размещения AI API, Federation для каталога, secret providers для upstream credentials и Alert Engine для оповещений. Это окружающие механизмы управления, а не отдельные «интеллектуальные» функции. Их конкретный entitlement зависит от лицензии. [1, 2, 18]</w:t>
      </w:r>
    </w:p>
    <w:p>
      <w:r>
        <w:t>Audit действий администратора не равен полному аудиту каждого решения агента; MCP runtime metrics не равны доказательству корректности бизнес-действия. Для значимых изменений система-исполнитель должна сохранять инициатора, параметры, результат и, где нужно, подтверждение человека.</w:t>
      </w:r>
    </w:p>
    <w:p>
      <w:r>
        <w:t>API Products потенциально удобны для упаковки нескольких API в единое предложение, но не стоит автоматически считать поддерживаемым любой набор LLM/MCP/A2A в одном продукте. Совместимость конкретных AI API types и нужный коммерческий пакет следует подтвердить отдельно. Это не обязательное условие первого AI-пилота.</w:t>
      </w:r>
    </w:p>
    <w:p>
      <w:pPr>
        <w:pStyle w:val="Heading1"/>
      </w:pPr>
      <w:r>
        <w:t>17. Что уточнить у Gravitee до закупки и внедрения</w:t>
      </w:r>
    </w:p>
    <w:p>
      <w:r>
        <w:t>Запросить у поставщика перечень включенных feature IDs для LLM Proxy, MCP Proxy/Tool Server/ACL, A2A, PII, semantic caching, vector/model resources, Federation, dashboards и secret providers. Отдельно уточнить лицензионное покрытие TEST/REGRESS/PROD, дополнительных AI Gateway и отказоустойчивой конфигурации. [2]</w:t>
      </w:r>
    </w:p>
    <w:p>
      <w:r>
        <w:t>Технические вопросы: какой поддерживаемый patch рекомендован под ваш use case; какие версии MCP/A2A и transport-возможности сертифицированы; какие coding-agent клиенты проверены; как устроен usage при client abort; каковы ограничения PII для streaming и русского языка; какой Redis/vector-store нужен; как поставляются модели в закрытый контур и какие имеют лицензии.</w:t>
      </w:r>
    </w:p>
    <w:p>
      <w:r>
        <w:t>Финансовая оценка должна включать лицензию, поддержку, отдельные Gateway, inference, embeddings, vector store, Elasticsearch/OTel, резервирование, разработку интеграций и сопровождение тестов. Без этих исходных данных нет оснований обещать конкретную окупаемость или процент экономии.</w:t>
      </w:r>
    </w:p>
    <w:p>
      <w:pPr>
        <w:pStyle w:val="Heading1"/>
      </w:pPr>
      <w:r>
        <w:t>Итоговая рекомендация</w:t>
      </w:r>
    </w:p>
    <w:p>
      <w:r>
        <w:t>Gravitee EE 4.12.17 дает содержательный набор AI-функций. Для команды с существующим APIM его сильная сторона — повторное использование модели публикации API, приложений, подписок и политик для доступа к моделям и инструментам. Наиболее понятный первый результат — управляемый LLM endpoint с учетом потребления и несколько строго ограниченных MCP tools.</w:t>
      </w:r>
    </w:p>
    <w:p>
      <w:r>
        <w:t>Главные условия успеха: не смешивать V2 Emulation с V4 definition; не считать токенный лимит точным денежным потолком; не обещать защиту stream ответов PII-политикой; не приравнивать поддержку endpoint к полной совместимости SDK; измерить Guard Rails на русском и отделить AI-нагрузку от критичного REST-трафика.</w:t>
      </w:r>
    </w:p>
    <w:p>
      <w:r>
        <w:t>Рекомендуемое решение — начать ограниченный self-hosted пилот с подтвержденным AI entitlement и закрепленными артефактами. Покупка и переход в production должны опираться на результаты приемки, а не на число AI-галочек в сравнительной таблице.</w:t>
      </w:r>
    </w:p>
    <w:p>
      <w:pPr>
        <w:pStyle w:val="Heading1"/>
      </w:pPr>
      <w:r>
        <w:t>Приложение A. Версии AI-компонентов в POM тега 4.12.17</w:t>
      </w:r>
    </w:p>
    <w:p>
      <w:r>
        <w:t>Это declared versions дистрибутива, а не подтверждение содержимого вашего custom image. Проверять фактические ZIP/JAR и digest необходимо отдельно. [1]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1E8"/>
          <w:left w:val="single" w:sz="4" w:color="D6E1E8"/>
          <w:bottom w:val="single" w:sz="4" w:color="D6E1E8"/>
          <w:right w:val="single" w:sz="4" w:color="D6E1E8"/>
          <w:insideH w:val="single" w:sz="4" w:color="D6E1E8"/>
          <w:insideV w:val="single" w:sz="4" w:color="D6E1E8"/>
        </w:tblBorders>
      </w:tblPr>
      <w:tblGrid>
        <w:gridCol w:w="6066"/>
        <w:gridCol w:w="3628"/>
      </w:tblGrid>
      <w:tr>
        <w:trPr>
          <w:tblHeader/>
          <w:cantSplit/>
        </w:trPr>
        <w:tc>
          <w:tcPr>
            <w:tcW w:type="dxa" w:w="6066"/>
            <w:vAlign w:val="center"/>
            <w:shd w:fill="18374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60" w:before="60" w:line="250" w:lineRule="auto"/>
            </w:pPr>
            <w:r>
              <w:rPr>
                <w:b/>
                <w:color w:val="FFFFFF"/>
                <w:sz w:val="19"/>
              </w:rPr>
              <w:t>Компонент</w:t>
            </w:r>
          </w:p>
        </w:tc>
        <w:tc>
          <w:tcPr>
            <w:tcW w:type="dxa" w:w="3628"/>
            <w:vAlign w:val="center"/>
            <w:shd w:fill="18374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60" w:before="60" w:line="250" w:lineRule="auto"/>
            </w:pPr>
            <w:r>
              <w:rPr>
                <w:b/>
                <w:color w:val="FFFFFF"/>
                <w:sz w:val="19"/>
              </w:rPr>
              <w:t>Версия</w:t>
            </w:r>
          </w:p>
        </w:tc>
      </w:tr>
      <w:tr>
        <w:trPr>
          <w:cantSplit/>
        </w:trPr>
        <w:tc>
          <w:tcPr>
            <w:tcW w:type="dxa" w:w="60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gravitee-reactor-llm-proxy</w:t>
            </w:r>
          </w:p>
        </w:tc>
        <w:tc>
          <w:tcPr>
            <w:tcW w:type="dxa" w:w="362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3.3.8</w:t>
            </w:r>
          </w:p>
        </w:tc>
      </w:tr>
      <w:tr>
        <w:trPr>
          <w:cantSplit/>
        </w:trPr>
        <w:tc>
          <w:tcPr>
            <w:tcW w:type="dxa" w:w="6066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gravitee-reactor-mcp-proxy</w:t>
            </w:r>
          </w:p>
        </w:tc>
        <w:tc>
          <w:tcPr>
            <w:tcW w:type="dxa" w:w="3628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3.1.6</w:t>
            </w:r>
          </w:p>
        </w:tc>
      </w:tr>
      <w:tr>
        <w:trPr>
          <w:cantSplit/>
        </w:trPr>
        <w:tc>
          <w:tcPr>
            <w:tcW w:type="dxa" w:w="60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gravitee-reactor-a2a-proxy</w:t>
            </w:r>
          </w:p>
        </w:tc>
        <w:tc>
          <w:tcPr>
            <w:tcW w:type="dxa" w:w="362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2.1.0</w:t>
            </w:r>
          </w:p>
        </w:tc>
      </w:tr>
      <w:tr>
        <w:trPr>
          <w:cantSplit/>
        </w:trPr>
        <w:tc>
          <w:tcPr>
            <w:tcW w:type="dxa" w:w="6066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gravitee-entrypoint-mcp-tool-server</w:t>
            </w:r>
          </w:p>
        </w:tc>
        <w:tc>
          <w:tcPr>
            <w:tcW w:type="dxa" w:w="3628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2.0.2</w:t>
            </w:r>
          </w:p>
        </w:tc>
      </w:tr>
      <w:tr>
        <w:trPr>
          <w:cantSplit/>
        </w:trPr>
        <w:tc>
          <w:tcPr>
            <w:tcW w:type="dxa" w:w="60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gravitee-entrypoint-agent-to-agent / endpoint-agent-to-agent</w:t>
            </w:r>
          </w:p>
        </w:tc>
        <w:tc>
          <w:tcPr>
            <w:tcW w:type="dxa" w:w="362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2.0.0 / 2.0.0</w:t>
            </w:r>
          </w:p>
        </w:tc>
      </w:tr>
      <w:tr>
        <w:trPr>
          <w:cantSplit/>
        </w:trPr>
        <w:tc>
          <w:tcPr>
            <w:tcW w:type="dxa" w:w="6066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gravitee-policy-token-ratelimit</w:t>
            </w:r>
          </w:p>
        </w:tc>
        <w:tc>
          <w:tcPr>
            <w:tcW w:type="dxa" w:w="3628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1.0.0</w:t>
            </w:r>
          </w:p>
        </w:tc>
      </w:tr>
      <w:tr>
        <w:trPr>
          <w:cantSplit/>
        </w:trPr>
        <w:tc>
          <w:tcPr>
            <w:tcW w:type="dxa" w:w="60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gravitee-policy-mcp-acl</w:t>
            </w:r>
          </w:p>
        </w:tc>
        <w:tc>
          <w:tcPr>
            <w:tcW w:type="dxa" w:w="362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1.0.4</w:t>
            </w:r>
          </w:p>
        </w:tc>
      </w:tr>
      <w:tr>
        <w:trPr>
          <w:cantSplit/>
        </w:trPr>
        <w:tc>
          <w:tcPr>
            <w:tcW w:type="dxa" w:w="6066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gravitee-policy-pii-filtering</w:t>
            </w:r>
          </w:p>
        </w:tc>
        <w:tc>
          <w:tcPr>
            <w:tcW w:type="dxa" w:w="3628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2.2.0</w:t>
            </w:r>
          </w:p>
        </w:tc>
      </w:tr>
      <w:tr>
        <w:trPr>
          <w:cantSplit/>
        </w:trPr>
        <w:tc>
          <w:tcPr>
            <w:tcW w:type="dxa" w:w="60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gravitee-policy-ai-semantic-caching</w:t>
            </w:r>
          </w:p>
        </w:tc>
        <w:tc>
          <w:tcPr>
            <w:tcW w:type="dxa" w:w="362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2.0.0</w:t>
            </w:r>
          </w:p>
        </w:tc>
      </w:tr>
      <w:tr>
        <w:trPr>
          <w:cantSplit/>
        </w:trPr>
        <w:tc>
          <w:tcPr>
            <w:tcW w:type="dxa" w:w="6066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gravitee-policy-ai-prompt-guard-rails</w:t>
            </w:r>
          </w:p>
        </w:tc>
        <w:tc>
          <w:tcPr>
            <w:tcW w:type="dxa" w:w="3628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4.0.1</w:t>
            </w:r>
          </w:p>
        </w:tc>
      </w:tr>
      <w:tr>
        <w:trPr>
          <w:cantSplit/>
        </w:trPr>
        <w:tc>
          <w:tcPr>
            <w:tcW w:type="dxa" w:w="60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gravitee-policy-ai-prompt-token-tracking</w:t>
            </w:r>
          </w:p>
        </w:tc>
        <w:tc>
          <w:tcPr>
            <w:tcW w:type="dxa" w:w="362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2.0.0</w:t>
            </w:r>
          </w:p>
        </w:tc>
      </w:tr>
      <w:tr>
        <w:trPr>
          <w:cantSplit/>
        </w:trPr>
        <w:tc>
          <w:tcPr>
            <w:tcW w:type="dxa" w:w="6066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gravitee-resource-ai-model-text-classification</w:t>
            </w:r>
          </w:p>
        </w:tc>
        <w:tc>
          <w:tcPr>
            <w:tcW w:type="dxa" w:w="3628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2.2.1</w:t>
            </w:r>
          </w:p>
        </w:tc>
      </w:tr>
      <w:tr>
        <w:trPr>
          <w:cantSplit/>
        </w:trPr>
        <w:tc>
          <w:tcPr>
            <w:tcW w:type="dxa" w:w="60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gravitee-resource-ai-model-token-classification</w:t>
            </w:r>
          </w:p>
        </w:tc>
        <w:tc>
          <w:tcPr>
            <w:tcW w:type="dxa" w:w="362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2.0.0</w:t>
            </w:r>
          </w:p>
        </w:tc>
      </w:tr>
      <w:tr>
        <w:trPr>
          <w:cantSplit/>
        </w:trPr>
        <w:tc>
          <w:tcPr>
            <w:tcW w:type="dxa" w:w="6066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gravitee-resource-ai-model-text-embedding</w:t>
            </w:r>
          </w:p>
        </w:tc>
        <w:tc>
          <w:tcPr>
            <w:tcW w:type="dxa" w:w="3628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1.0.0</w:t>
            </w:r>
          </w:p>
        </w:tc>
      </w:tr>
      <w:tr>
        <w:trPr>
          <w:cantSplit/>
        </w:trPr>
        <w:tc>
          <w:tcPr>
            <w:tcW w:type="dxa" w:w="60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gravitee-resource-ai-vector-store-redis / aws-s3</w:t>
            </w:r>
          </w:p>
        </w:tc>
        <w:tc>
          <w:tcPr>
            <w:tcW w:type="dxa" w:w="362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2.0.0 / 1.0.0</w:t>
            </w:r>
          </w:p>
        </w:tc>
      </w:tr>
      <w:tr>
        <w:trPr>
          <w:cantSplit/>
        </w:trPr>
        <w:tc>
          <w:tcPr>
            <w:tcW w:type="dxa" w:w="6066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gravitee-inference-service</w:t>
            </w:r>
          </w:p>
        </w:tc>
        <w:tc>
          <w:tcPr>
            <w:tcW w:type="dxa" w:w="3628"/>
            <w:vAlign w:val="center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60" w:line="250" w:lineRule="auto"/>
            </w:pPr>
            <w:r>
              <w:rPr>
                <w:sz w:val="19"/>
              </w:rPr>
              <w:t>2.0.0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Приложение B. Источники</w:t>
      </w:r>
    </w:p>
    <w:p>
      <w:r>
        <w:t>Ссылки [1]–[23] в тексте соответствуют источникам ниже. Для основных функциональных руководств выбран snapshot официальной документации на дату выпуска 4.12.17. Позднейший changelog используется только для разграничения исправлений, вошедших и не вошедших в .17. Дата проверки источников: 17.09.2026.</w:t>
      </w:r>
    </w:p>
    <w:p>
      <w:pPr>
        <w:keepLines/>
        <w:spacing w:after="120"/>
      </w:pPr>
      <w:r>
        <w:rPr>
          <w:sz w:val="20"/>
        </w:rPr>
        <w:t xml:space="preserve">[1] Состав дистрибутива: pom.xml, тег 4.12.17. </w:t>
      </w:r>
      <w:hyperlink r:id="rId11">
        <w:r>
          <w:rPr>
            <w:color w:val="1A6080"/>
            <w:u w:val="single"/>
            <w:sz w:val="20"/>
          </w:rPr>
          <w:t>Открыть официальный источник</w:t>
        </w:r>
      </w:hyperlink>
    </w:p>
    <w:p>
      <w:pPr>
        <w:keepLines/>
        <w:spacing w:after="120"/>
      </w:pPr>
      <w:r>
        <w:rPr>
          <w:sz w:val="20"/>
        </w:rPr>
        <w:t xml:space="preserve">[2] Enterprise Edition: пакеты и возможности. </w:t>
      </w:r>
      <w:hyperlink r:id="rId12">
        <w:r>
          <w:rPr>
            <w:color w:val="1A6080"/>
            <w:u w:val="single"/>
            <w:sz w:val="20"/>
          </w:rPr>
          <w:t>Открыть официальный источник</w:t>
        </w:r>
      </w:hyperlink>
    </w:p>
    <w:p>
      <w:pPr>
        <w:keepLines/>
        <w:spacing w:after="120"/>
      </w:pPr>
      <w:r>
        <w:rPr>
          <w:sz w:val="20"/>
        </w:rPr>
        <w:t xml:space="preserve">[3] LLM Proxy: provider support matrix. </w:t>
      </w:r>
      <w:hyperlink r:id="rId13">
        <w:r>
          <w:rPr>
            <w:color w:val="1A6080"/>
            <w:u w:val="single"/>
            <w:sz w:val="20"/>
          </w:rPr>
          <w:t>Открыть официальный источник</w:t>
        </w:r>
      </w:hyperlink>
    </w:p>
    <w:p>
      <w:pPr>
        <w:keepLines/>
        <w:spacing w:after="120"/>
      </w:pPr>
      <w:r>
        <w:rPr>
          <w:sz w:val="20"/>
        </w:rPr>
        <w:t xml:space="preserve">[4] Accepted request formats: контракт и ограничения LLM Proxy. </w:t>
      </w:r>
      <w:hyperlink r:id="rId14">
        <w:r>
          <w:rPr>
            <w:color w:val="1A6080"/>
            <w:u w:val="single"/>
            <w:sz w:val="20"/>
          </w:rPr>
          <w:t>Открыть официальный источник</w:t>
        </w:r>
      </w:hyperlink>
    </w:p>
    <w:p>
      <w:pPr>
        <w:keepLines/>
        <w:spacing w:after="120"/>
      </w:pPr>
      <w:r>
        <w:rPr>
          <w:sz w:val="20"/>
        </w:rPr>
        <w:t xml:space="preserve">[5] Configure an OpenAI-compatible provider. </w:t>
      </w:r>
      <w:hyperlink r:id="rId15">
        <w:r>
          <w:rPr>
            <w:color w:val="1A6080"/>
            <w:u w:val="single"/>
            <w:sz w:val="20"/>
          </w:rPr>
          <w:t>Открыть официальный источник</w:t>
        </w:r>
      </w:hyperlink>
    </w:p>
    <w:p>
      <w:pPr>
        <w:keepLines/>
        <w:spacing w:after="120"/>
      </w:pPr>
      <w:r>
        <w:rPr>
          <w:sz w:val="20"/>
        </w:rPr>
        <w:t xml:space="preserve">[6] Proxy your LLMs: создание и настройка API. </w:t>
      </w:r>
      <w:hyperlink r:id="rId16">
        <w:r>
          <w:rPr>
            <w:color w:val="1A6080"/>
            <w:u w:val="single"/>
            <w:sz w:val="20"/>
          </w:rPr>
          <w:t>Открыть официальный источник</w:t>
        </w:r>
      </w:hyperlink>
    </w:p>
    <w:p>
      <w:pPr>
        <w:keepLines/>
        <w:spacing w:after="120"/>
      </w:pPr>
      <w:r>
        <w:rPr>
          <w:sz w:val="20"/>
        </w:rPr>
        <w:t xml:space="preserve">[7] Override the model at runtime. </w:t>
      </w:r>
      <w:hyperlink r:id="rId17">
        <w:r>
          <w:rPr>
            <w:color w:val="1A6080"/>
            <w:u w:val="single"/>
            <w:sz w:val="20"/>
          </w:rPr>
          <w:t>Открыть официальный источник</w:t>
        </w:r>
      </w:hyperlink>
    </w:p>
    <w:p>
      <w:pPr>
        <w:keepLines/>
        <w:spacing w:after="120"/>
      </w:pPr>
      <w:r>
        <w:rPr>
          <w:sz w:val="20"/>
        </w:rPr>
        <w:t xml:space="preserve">[8] AI Token Rate Limit: режимы и задержка учета. </w:t>
      </w:r>
      <w:hyperlink r:id="rId18">
        <w:r>
          <w:rPr>
            <w:color w:val="1A6080"/>
            <w:u w:val="single"/>
            <w:sz w:val="20"/>
          </w:rPr>
          <w:t>Открыть официальный источник</w:t>
        </w:r>
      </w:hyperlink>
    </w:p>
    <w:p>
      <w:pPr>
        <w:keepLines/>
        <w:spacing w:after="120"/>
      </w:pPr>
      <w:r>
        <w:rPr>
          <w:sz w:val="20"/>
        </w:rPr>
        <w:t xml:space="preserve">[9] AI Prompt Token Tracking: usage и расчетная стоимость. </w:t>
      </w:r>
      <w:hyperlink r:id="rId19">
        <w:r>
          <w:rPr>
            <w:color w:val="1A6080"/>
            <w:u w:val="single"/>
            <w:sz w:val="20"/>
          </w:rPr>
          <w:t>Открыть официальный источник</w:t>
        </w:r>
      </w:hyperlink>
    </w:p>
    <w:p>
      <w:pPr>
        <w:keepLines/>
        <w:spacing w:after="120"/>
      </w:pPr>
      <w:r>
        <w:rPr>
          <w:sz w:val="20"/>
        </w:rPr>
        <w:t xml:space="preserve">[10] AI Prompt Guard Rails: модели и требования runtime. </w:t>
      </w:r>
      <w:hyperlink r:id="rId20">
        <w:r>
          <w:rPr>
            <w:color w:val="1A6080"/>
            <w:u w:val="single"/>
            <w:sz w:val="20"/>
          </w:rPr>
          <w:t>Открыть официальный источник</w:t>
        </w:r>
      </w:hyperlink>
    </w:p>
    <w:p>
      <w:pPr>
        <w:keepLines/>
        <w:spacing w:after="120"/>
      </w:pPr>
      <w:r>
        <w:rPr>
          <w:sz w:val="20"/>
        </w:rPr>
        <w:t xml:space="preserve">[11] Guard Rails plugin.properties, тег 4.0.1: совместимые API types. </w:t>
      </w:r>
      <w:hyperlink r:id="rId21">
        <w:r>
          <w:rPr>
            <w:color w:val="1A6080"/>
            <w:u w:val="single"/>
            <w:sz w:val="20"/>
          </w:rPr>
          <w:t>Открыть официальный источник</w:t>
        </w:r>
      </w:hyperlink>
    </w:p>
    <w:p>
      <w:pPr>
        <w:keepLines/>
        <w:spacing w:after="120"/>
      </w:pPr>
      <w:r>
        <w:rPr>
          <w:sz w:val="20"/>
        </w:rPr>
        <w:t xml:space="preserve">[12] PII Filtering: лицензия, модели и streaming. </w:t>
      </w:r>
      <w:hyperlink r:id="rId22">
        <w:r>
          <w:rPr>
            <w:color w:val="1A6080"/>
            <w:u w:val="single"/>
            <w:sz w:val="20"/>
          </w:rPr>
          <w:t>Открыть официальный источник</w:t>
        </w:r>
      </w:hyperlink>
    </w:p>
    <w:p>
      <w:pPr>
        <w:keepLines/>
        <w:spacing w:after="120"/>
      </w:pPr>
      <w:r>
        <w:rPr>
          <w:sz w:val="20"/>
        </w:rPr>
        <w:t xml:space="preserve">[13] AI Semantic Caching: ресурсы и изоляция кеша. </w:t>
      </w:r>
      <w:hyperlink r:id="rId23">
        <w:r>
          <w:rPr>
            <w:color w:val="1A6080"/>
            <w:u w:val="single"/>
            <w:sz w:val="20"/>
          </w:rPr>
          <w:t>Открыть официальный источник</w:t>
        </w:r>
      </w:hyperlink>
    </w:p>
    <w:p>
      <w:pPr>
        <w:keepLines/>
        <w:spacing w:after="120"/>
      </w:pPr>
      <w:r>
        <w:rPr>
          <w:sz w:val="20"/>
        </w:rPr>
        <w:t xml:space="preserve">[14] Convert REST APIs to an MCP Server. </w:t>
      </w:r>
      <w:hyperlink r:id="rId24">
        <w:r>
          <w:rPr>
            <w:color w:val="1A6080"/>
            <w:u w:val="single"/>
            <w:sz w:val="20"/>
          </w:rPr>
          <w:t>Открыть официальный источник</w:t>
        </w:r>
      </w:hyperlink>
    </w:p>
    <w:p>
      <w:pPr>
        <w:keepLines/>
        <w:spacing w:after="120"/>
      </w:pPr>
      <w:r>
        <w:rPr>
          <w:sz w:val="20"/>
        </w:rPr>
        <w:t xml:space="preserve">[15] AI MCP ACL: разрешения tools/resources/prompts. </w:t>
      </w:r>
      <w:hyperlink r:id="rId25">
        <w:r>
          <w:rPr>
            <w:color w:val="1A6080"/>
            <w:u w:val="single"/>
            <w:sz w:val="20"/>
          </w:rPr>
          <w:t>Открыть официальный источник</w:t>
        </w:r>
      </w:hyperlink>
    </w:p>
    <w:p>
      <w:pPr>
        <w:keepLines/>
        <w:spacing w:after="120"/>
      </w:pPr>
      <w:r>
        <w:rPr>
          <w:sz w:val="20"/>
        </w:rPr>
        <w:t xml:space="preserve">[16] Secure MCP Proxy with OAuth2. </w:t>
      </w:r>
      <w:hyperlink r:id="rId26">
        <w:r>
          <w:rPr>
            <w:color w:val="1A6080"/>
            <w:u w:val="single"/>
            <w:sz w:val="20"/>
          </w:rPr>
          <w:t>Открыть официальный источник</w:t>
        </w:r>
      </w:hyperlink>
    </w:p>
    <w:p>
      <w:pPr>
        <w:keepLines/>
        <w:spacing w:after="120"/>
      </w:pPr>
      <w:r>
        <w:rPr>
          <w:sz w:val="20"/>
        </w:rPr>
        <w:t xml:space="preserve">[17] Set Up an AI Agent (A2A) Proxy. </w:t>
      </w:r>
      <w:hyperlink r:id="rId27">
        <w:r>
          <w:rPr>
            <w:color w:val="1A6080"/>
            <w:u w:val="single"/>
            <w:sz w:val="20"/>
          </w:rPr>
          <w:t>Открыть официальный источник</w:t>
        </w:r>
      </w:hyperlink>
    </w:p>
    <w:p>
      <w:pPr>
        <w:keepLines/>
        <w:spacing w:after="120"/>
      </w:pPr>
      <w:r>
        <w:rPr>
          <w:sz w:val="20"/>
        </w:rPr>
        <w:t xml:space="preserve">[18] Discover and Catalog AI Agents: Federation. </w:t>
      </w:r>
      <w:hyperlink r:id="rId28">
        <w:r>
          <w:rPr>
            <w:color w:val="1A6080"/>
            <w:u w:val="single"/>
            <w:sz w:val="20"/>
          </w:rPr>
          <w:t>Открыть официальный источник</w:t>
        </w:r>
      </w:hyperlink>
    </w:p>
    <w:p>
      <w:pPr>
        <w:keepLines/>
        <w:spacing w:after="120"/>
      </w:pPr>
      <w:r>
        <w:rPr>
          <w:sz w:val="20"/>
        </w:rPr>
        <w:t xml:space="preserve">[19] LLM Usage Dashboard. </w:t>
      </w:r>
      <w:hyperlink r:id="rId29">
        <w:r>
          <w:rPr>
            <w:color w:val="1A6080"/>
            <w:u w:val="single"/>
            <w:sz w:val="20"/>
          </w:rPr>
          <w:t>Открыть официальный источник</w:t>
        </w:r>
      </w:hyperlink>
    </w:p>
    <w:p>
      <w:pPr>
        <w:keepLines/>
        <w:spacing w:after="120"/>
      </w:pPr>
      <w:r>
        <w:rPr>
          <w:sz w:val="20"/>
        </w:rPr>
        <w:t xml:space="preserve">[20] MCP Usage Dashboard. </w:t>
      </w:r>
      <w:hyperlink r:id="rId30">
        <w:r>
          <w:rPr>
            <w:color w:val="1A6080"/>
            <w:u w:val="single"/>
            <w:sz w:val="20"/>
          </w:rPr>
          <w:t>Открыть официальный источник</w:t>
        </w:r>
      </w:hyperlink>
    </w:p>
    <w:p>
      <w:pPr>
        <w:keepLines/>
        <w:spacing w:after="120"/>
      </w:pPr>
      <w:r>
        <w:rPr>
          <w:sz w:val="20"/>
        </w:rPr>
        <w:t xml:space="preserve">[21] Context-aware logging: MDC и область применения. </w:t>
      </w:r>
      <w:hyperlink r:id="rId31">
        <w:r>
          <w:rPr>
            <w:color w:val="1A6080"/>
            <w:u w:val="single"/>
            <w:sz w:val="20"/>
          </w:rPr>
          <w:t>Открыть официальный источник</w:t>
        </w:r>
      </w:hyperlink>
    </w:p>
    <w:p>
      <w:pPr>
        <w:keepLines/>
        <w:spacing w:after="120"/>
      </w:pPr>
      <w:r>
        <w:rPr>
          <w:sz w:val="20"/>
        </w:rPr>
        <w:t xml:space="preserve">[22] APIM 4.12 Release Notes. </w:t>
      </w:r>
      <w:hyperlink r:id="rId32">
        <w:r>
          <w:rPr>
            <w:color w:val="1A6080"/>
            <w:u w:val="single"/>
            <w:sz w:val="20"/>
          </w:rPr>
          <w:t>Открыть официальный источник</w:t>
        </w:r>
      </w:hyperlink>
    </w:p>
    <w:p>
      <w:pPr>
        <w:keepLines/>
        <w:spacing w:after="120"/>
      </w:pPr>
      <w:r>
        <w:rPr>
          <w:sz w:val="20"/>
        </w:rPr>
        <w:t xml:space="preserve">[23] APIM 4.12.x Changelog: границы исправлений .17/.18/.19. </w:t>
      </w:r>
      <w:hyperlink r:id="rId33">
        <w:r>
          <w:rPr>
            <w:color w:val="1A6080"/>
            <w:u w:val="single"/>
            <w:sz w:val="20"/>
          </w:rPr>
          <w:t>Открыть официальный источник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049" w:bottom="1020" w:left="1162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26373"/>
        <w:sz w:val="18"/>
      </w:rPr>
      <w:t xml:space="preserve">Аналитический отчет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GRAVITEE APIM 4.12.17  /  AI CAPABILITIES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4" w:lineRule="auto" w:after="140"/>
    </w:pPr>
    <w:rPr>
      <w:rFonts w:ascii="Calibri" w:hAnsi="Calibri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0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8374F"/>
      <w:sz w:val="3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8374F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837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160"/>
      <w:contextualSpacing/>
    </w:pPr>
    <w:rPr>
      <w:rFonts w:asciiTheme="majorHAnsi" w:eastAsiaTheme="majorEastAsia" w:hAnsiTheme="majorHAnsi" w:cstheme="majorBidi" w:ascii="Calibri" w:hAnsi="Calibri"/>
      <w:color w:val="18374F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60"/>
    </w:pPr>
    <w:rPr>
      <w:rFonts w:asciiTheme="majorHAnsi" w:eastAsiaTheme="majorEastAsia" w:hAnsiTheme="majorHAnsi" w:cstheme="majorBidi" w:ascii="Calibri" w:hAnsi="Calibri"/>
      <w:i/>
      <w:iCs/>
      <w:color w:val="18374F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widowControl/>
      <w:spacing w:line="264" w:lineRule="auto" w:after="140"/>
      <w:ind w:left="720"/>
      <w:contextualSpacing/>
    </w:pPr>
    <w:rPr>
      <w:rFonts w:ascii="Calibri" w:hAnsi="Calibri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40" w:line="264" w:lineRule="auto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5263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 Inline"/>
    <w:rPr>
      <w:rFonts w:ascii="Consolas" w:hAnsi="Consolas"/>
      <w:sz w:val="18"/>
    </w:rPr>
  </w:style>
  <w:style w:type="paragraph" w:customStyle="1" w:styleId="CodeBlock">
    <w:name w:val="Code Block"/>
    <w:pPr>
      <w:spacing w:after="120" w:line="240" w:lineRule="auto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gravitee-io/gravitee-api-management/blob/4.12.17/pom.xml" TargetMode="External"/><Relationship Id="rId12" Type="http://schemas.openxmlformats.org/officeDocument/2006/relationships/hyperlink" Target="https://github.com/gravitee-io/gravitee-platform-docs/blob/32ecf35d8a536d89f1aa612a9c7443e7b41105fb/docs/apim/4.12/introduction/enterprise-edition.md" TargetMode="External"/><Relationship Id="rId13" Type="http://schemas.openxmlformats.org/officeDocument/2006/relationships/hyperlink" Target="https://github.com/gravitee-io/gravitee-platform-docs/blob/32ecf35d8a536d89f1aa612a9c7443e7b41105fb/docs/apim/4.12/ai-agent-management/llm-proxy/README.md" TargetMode="External"/><Relationship Id="rId14" Type="http://schemas.openxmlformats.org/officeDocument/2006/relationships/hyperlink" Target="https://github.com/gravitee-io/gravitee-platform-docs/blob/32ecf35d8a536d89f1aa612a9c7443e7b41105fb/docs/apim/4.12/ai-agent-management/llm-proxy/accepted-request-formats.md" TargetMode="External"/><Relationship Id="rId15" Type="http://schemas.openxmlformats.org/officeDocument/2006/relationships/hyperlink" Target="https://documentation.gravitee.io/apim/ai-agent-management/llm-proxy/configure-an-openai-compatible-provider" TargetMode="External"/><Relationship Id="rId16" Type="http://schemas.openxmlformats.org/officeDocument/2006/relationships/hyperlink" Target="https://documentation.gravitee.io/apim/ai-agent-management/llm-proxy/proxy-your-llms" TargetMode="External"/><Relationship Id="rId17" Type="http://schemas.openxmlformats.org/officeDocument/2006/relationships/hyperlink" Target="https://documentation.gravitee.io/apim/ai-agent-management/llm-proxy/override-the-model-at-runtime" TargetMode="External"/><Relationship Id="rId18" Type="http://schemas.openxmlformats.org/officeDocument/2006/relationships/hyperlink" Target="https://github.com/gravitee-io/gravitee-platform-docs/blob/32ecf35d8a536d89f1aa612a9c7443e7b41105fb/docs/apim/4.12/create-and-configure-apis/apply-policies/policy-reference/ai-token-rate-limit.md" TargetMode="External"/><Relationship Id="rId19" Type="http://schemas.openxmlformats.org/officeDocument/2006/relationships/hyperlink" Target="https://github.com/gravitee-io/gravitee-platform-docs/blob/32ecf35d8a536d89f1aa612a9c7443e7b41105fb/docs/apim/4.12/create-and-configure-apis/apply-policies/policy-reference/ai-prompt-token-tracking.md" TargetMode="External"/><Relationship Id="rId20" Type="http://schemas.openxmlformats.org/officeDocument/2006/relationships/hyperlink" Target="https://github.com/gravitee-io/gravitee-platform-docs/blob/32ecf35d8a536d89f1aa612a9c7443e7b41105fb/docs/apim/4.12/create-and-configure-apis/apply-policies/policy-reference/ai-prompt-guard-rails.md" TargetMode="External"/><Relationship Id="rId21" Type="http://schemas.openxmlformats.org/officeDocument/2006/relationships/hyperlink" Target="https://github.com/gravitee-io/gravitee-policy-ai-prompt-guard-rails/blob/4.0.1/src/main/resources/plugin.properties" TargetMode="External"/><Relationship Id="rId22" Type="http://schemas.openxmlformats.org/officeDocument/2006/relationships/hyperlink" Target="https://github.com/gravitee-io/gravitee-platform-docs/blob/32ecf35d8a536d89f1aa612a9c7443e7b41105fb/docs/apim/4.12/create-and-configure-apis/apply-policies/policy-reference/pii-filtering.md" TargetMode="External"/><Relationship Id="rId23" Type="http://schemas.openxmlformats.org/officeDocument/2006/relationships/hyperlink" Target="https://github.com/gravitee-io/gravitee-platform-docs/blob/32ecf35d8a536d89f1aa612a9c7443e7b41105fb/docs/apim/4.12/create-and-configure-apis/apply-policies/policy-reference/ai-semantic-caching.md" TargetMode="External"/><Relationship Id="rId24" Type="http://schemas.openxmlformats.org/officeDocument/2006/relationships/hyperlink" Target="https://github.com/gravitee-io/gravitee-platform-docs/blob/32ecf35d8a536d89f1aa612a9c7443e7b41105fb/docs/apim/4.12/ai-agent-management/convert-your-apis-to-mcp-servers.md" TargetMode="External"/><Relationship Id="rId25" Type="http://schemas.openxmlformats.org/officeDocument/2006/relationships/hyperlink" Target="https://github.com/gravitee-io/gravitee-platform-docs/blob/32ecf35d8a536d89f1aa612a9c7443e7b41105fb/docs/apim/4.12/create-and-configure-apis/apply-policies/policy-reference/ai-mcp-acl.md" TargetMode="External"/><Relationship Id="rId26" Type="http://schemas.openxmlformats.org/officeDocument/2006/relationships/hyperlink" Target="https://documentation.gravitee.io/apim/ai-agent-management/secure-mcp-proxy-with-oauth2" TargetMode="External"/><Relationship Id="rId27" Type="http://schemas.openxmlformats.org/officeDocument/2006/relationships/hyperlink" Target="https://github.com/gravitee-io/gravitee-platform-docs/blob/32ecf35d8a536d89f1aa612a9c7443e7b41105fb/docs/apim/4.12/ai-agent-management/create-an-a2a-proxy.md" TargetMode="External"/><Relationship Id="rId28" Type="http://schemas.openxmlformats.org/officeDocument/2006/relationships/hyperlink" Target="https://github.com/gravitee-io/gravitee-platform-docs/blob/32ecf35d8a536d89f1aa612a9c7443e7b41105fb/docs/apim/4.12/ai-agent-management/add-agents-to-your-agent-catalog.md" TargetMode="External"/><Relationship Id="rId29" Type="http://schemas.openxmlformats.org/officeDocument/2006/relationships/hyperlink" Target="https://github.com/gravitee-io/gravitee-platform-docs/blob/32ecf35d8a536d89f1aa612a9c7443e7b41105fb/docs/apim/4.12/analyze-and-monitor-apis/dashboards/LLM-usage-dashboard.md" TargetMode="External"/><Relationship Id="rId30" Type="http://schemas.openxmlformats.org/officeDocument/2006/relationships/hyperlink" Target="https://github.com/gravitee-io/gravitee-platform-docs/blob/32ecf35d8a536d89f1aa612a9c7443e7b41105fb/docs/apim/4.12/analyze-and-monitor-apis/dashboards/MCP-usage-dashboard.md" TargetMode="External"/><Relationship Id="rId31" Type="http://schemas.openxmlformats.org/officeDocument/2006/relationships/hyperlink" Target="https://documentation.gravitee.io/apim/configure-and-manage-the-platform/logging-infrastructure" TargetMode="External"/><Relationship Id="rId32" Type="http://schemas.openxmlformats.org/officeDocument/2006/relationships/hyperlink" Target="https://github.com/gravitee-io/gravitee-platform-docs/blob/32ecf35d8a536d89f1aa612a9c7443e7b41105fb/docs/apim/4.12/release-information/release-notes/apim-4.12.md" TargetMode="External"/><Relationship Id="rId33" Type="http://schemas.openxmlformats.org/officeDocument/2006/relationships/hyperlink" Target="https://github.com/gravitee-io/gravitee-platform-docs/blob/main/docs/apim/4.12/release-information/changelog/apim-4.12.x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Gravitee APIM EE 4.12.17 — AI-возможности и условия внедрения</dc:title>
  <dc:subject>LLM Proxy, MCP, A2A, AI security policies and licensing</dc:subject>
  <dc:creator/>
  <cp:keywords>Gravitee, 4.12.17, EE, LLM, MCP, A2A, PII, Guard Rails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