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d19372001435f48aaa61eda39e1e9c961da1f4"/>
    <w:p>
      <w:pPr>
        <w:pStyle w:val="Heading1"/>
      </w:pPr>
      <w:r>
        <w:t xml:space="preserve">Gravitee EE 4.12.17: основные результаты исследования</w:t>
      </w:r>
    </w:p>
    <w:bookmarkStart w:id="9" w:name="Xe9000be635b1596a852a4e62b8f6b005ccd7f76"/>
    <w:p>
      <w:pPr>
        <w:pStyle w:val="Heading2"/>
      </w:pPr>
      <w:r>
        <w:t xml:space="preserve">1. Главный вывод: это платформа управления AI-интеграциями, а не конструктор самого ИИ</w:t>
      </w:r>
    </w:p>
    <w:p>
      <w:pPr>
        <w:pStyle w:val="FirstParagraph"/>
      </w:pPr>
      <w:r>
        <w:t xml:space="preserve">Gravitee позволяет централизовать три разных направления: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Что контролируется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Proxy</w:t>
            </w:r>
          </w:p>
        </w:tc>
        <w:tc>
          <w:tcPr/>
          <w:p>
            <w:pPr>
              <w:pStyle w:val="Compact"/>
            </w:pPr>
            <w:r>
              <w:t xml:space="preserve">Обращения приложений и агентов к моделям</w:t>
            </w:r>
          </w:p>
        </w:tc>
        <w:tc>
          <w:tcPr/>
          <w:p>
            <w:pPr>
              <w:pStyle w:val="Compact"/>
            </w:pPr>
            <w:r>
              <w:t xml:space="preserve">Корпоративный помощник вызывает внутреннюю или внешнюю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Обнаружение и вызов инструментов</w:t>
            </w:r>
          </w:p>
        </w:tc>
        <w:tc>
          <w:tcPr/>
          <w:p>
            <w:pPr>
              <w:pStyle w:val="Compact"/>
            </w:pPr>
            <w:r>
              <w:t xml:space="preserve">Агент получает статус заявки через корпоративный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Обращения к самостоятельным агентным сервисам</w:t>
            </w:r>
          </w:p>
        </w:tc>
        <w:tc>
          <w:tcPr/>
          <w:p>
            <w:pPr>
              <w:pStyle w:val="Compact"/>
            </w:pPr>
            <w:r>
              <w:t xml:space="preserve">Агент разработки делегирует поиск информации агенту документации</w:t>
            </w:r>
          </w:p>
        </w:tc>
      </w:tr>
    </w:tbl>
    <w:p>
      <w:pPr>
        <w:pStyle w:val="BodyText"/>
      </w:pPr>
      <w:r>
        <w:t xml:space="preserve">Специализированные компоненты этих направлений присутствуют в составе</w:t>
      </w:r>
      <w:r>
        <w:t xml:space="preserve"> </w:t>
      </w:r>
      <w:r>
        <w:rPr>
          <w:b/>
          <w:bCs/>
        </w:rPr>
        <w:t xml:space="preserve">4.12.17</w:t>
      </w:r>
      <w:r>
        <w:t xml:space="preserve">. Их задача — применить к AI-трафику механизмы APIM: доступ, подписки, политики, маршрутизацию и наблюдаемость.</w:t>
      </w:r>
    </w:p>
    <w:p>
      <w:pPr>
        <w:pStyle w:val="BodyText"/>
      </w:pPr>
      <w:r>
        <w:rPr>
          <w:b/>
          <w:bCs/>
        </w:rPr>
        <w:t xml:space="preserve">Gravitee не заменяет основную LLM, реализацию агента и предметную логику корпоративных систем.</w:t>
      </w:r>
      <w:r>
        <w:t xml:space="preserve"> </w:t>
      </w:r>
      <w:r>
        <w:t xml:space="preserve">Вместе с тем вспомогательные модели для классификации промптов, обнаружения персональных данных и получения embeddings могут исполняться на Gateway — и потреблять его ресурсы.</w:t>
      </w:r>
    </w:p>
    <w:p>
      <w:pPr>
        <w:pStyle w:val="BodyText"/>
      </w:pPr>
      <w:r>
        <w:t xml:space="preserve">Для вашей команды наиболее понятное применение — не «построить всех агентов внутри Gravitee», а</w:t>
      </w:r>
      <w:r>
        <w:t xml:space="preserve"> </w:t>
      </w:r>
      <w:r>
        <w:rPr>
          <w:b/>
          <w:bCs/>
        </w:rPr>
        <w:t xml:space="preserve">сделать управляемую точку доступа к моделям и корпоративным инструментам</w:t>
      </w:r>
      <w:r>
        <w:t xml:space="preserve">.</w:t>
      </w:r>
    </w:p>
    <w:bookmarkEnd w:id="9"/>
    <w:bookmarkStart w:id="10" w:name="X6d1d232de6c1ee48065eb6dcabd205e66763eae"/>
    <w:p>
      <w:pPr>
        <w:pStyle w:val="Heading2"/>
      </w:pPr>
      <w:r>
        <w:t xml:space="preserve">2. Какие AI-возможности есть и что с лицензиями</w:t>
      </w:r>
    </w:p>
    <w:p>
      <w:pPr>
        <w:pStyle w:val="FirstParagraph"/>
      </w:pPr>
      <w:r>
        <w:rPr>
          <w:b/>
          <w:bCs/>
        </w:rPr>
        <w:t xml:space="preserve">EE — не единый пакет, автоматически открывающий всё.</w:t>
      </w:r>
      <w:r>
        <w:t xml:space="preserve"> </w:t>
      </w:r>
      <w:r>
        <w:t xml:space="preserve">Официальная документация разделяет API Management, Event Management и AI Agent Management; доступ зависит от лицензии. В отдельных руководствах также используется название Agent Mesh. Коммерческий состав необходимо сверять с вашим license-файлом и предложением поставщика.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Лицензионная принадлежность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Proxy</w:t>
            </w:r>
          </w:p>
        </w:tc>
        <w:tc>
          <w:tcPr/>
          <w:p>
            <w:pPr>
              <w:pStyle w:val="Compact"/>
            </w:pPr>
            <w:r>
              <w:t xml:space="preserve">Единый доступ к нескольким LLM-провайдерам</w:t>
            </w:r>
          </w:p>
        </w:tc>
        <w:tc>
          <w:tcPr/>
          <w:p>
            <w:pPr>
              <w:pStyle w:val="Compact"/>
            </w:pPr>
            <w:r>
              <w:t xml:space="preserve">Enterprise-компонент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Proxy</w:t>
            </w:r>
          </w:p>
        </w:tc>
        <w:tc>
          <w:tcPr/>
          <w:p>
            <w:pPr>
              <w:pStyle w:val="Compact"/>
            </w:pPr>
            <w:r>
              <w:t xml:space="preserve">Управление доступом к готовому MCP-серверу</w:t>
            </w:r>
          </w:p>
        </w:tc>
        <w:tc>
          <w:tcPr/>
          <w:p>
            <w:pPr>
              <w:pStyle w:val="Compact"/>
            </w:pPr>
            <w:r>
              <w:t xml:space="preserve">Enterprise-компонент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Tool Server</w:t>
            </w:r>
          </w:p>
        </w:tc>
        <w:tc>
          <w:tcPr/>
          <w:p>
            <w:pPr>
              <w:pStyle w:val="Compact"/>
            </w:pPr>
            <w:r>
              <w:t xml:space="preserve">Публикация операций REST API как MCP-инструментов</w:t>
            </w:r>
          </w:p>
        </w:tc>
        <w:tc>
          <w:tcPr/>
          <w:p>
            <w:pPr>
              <w:pStyle w:val="Compact"/>
            </w:pPr>
            <w:r>
              <w:t xml:space="preserve">Enterprise entrypoint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ACL</w:t>
            </w:r>
          </w:p>
        </w:tc>
        <w:tc>
          <w:tcPr/>
          <w:p>
            <w:pPr>
              <w:pStyle w:val="Compact"/>
            </w:pPr>
            <w:r>
              <w:t xml:space="preserve">Ограничение доступных tools, resources и prompts</w:t>
            </w:r>
          </w:p>
        </w:tc>
        <w:tc>
          <w:tcPr/>
          <w:p>
            <w:pPr>
              <w:pStyle w:val="Compact"/>
            </w:pPr>
            <w:r>
              <w:t xml:space="preserve">Enterprise-политика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 Proxy</w:t>
            </w:r>
          </w:p>
        </w:tc>
        <w:tc>
          <w:tcPr/>
          <w:p>
            <w:pPr>
              <w:pStyle w:val="Compact"/>
            </w:pPr>
            <w:r>
              <w:t xml:space="preserve">Управляемые взаимодействия между агентами</w:t>
            </w:r>
          </w:p>
        </w:tc>
        <w:tc>
          <w:tcPr/>
          <w:p>
            <w:pPr>
              <w:pStyle w:val="Compact"/>
            </w:pPr>
            <w:r>
              <w:t xml:space="preserve">EE, AI Agent Management 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Catalog</w:t>
            </w:r>
          </w:p>
        </w:tc>
        <w:tc>
          <w:tcPr/>
          <w:p>
            <w:pPr>
              <w:pStyle w:val="Compact"/>
            </w:pPr>
            <w:r>
              <w:t xml:space="preserve">Каталог агентов по Agent Cards</w:t>
            </w:r>
          </w:p>
        </w:tc>
        <w:tc>
          <w:tcPr/>
          <w:p>
            <w:pPr>
              <w:pStyle w:val="Compact"/>
            </w:pPr>
            <w:r>
              <w:t xml:space="preserve">EE и включённая Federation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Token Rate Limit</w:t>
            </w:r>
          </w:p>
        </w:tc>
        <w:tc>
          <w:tcPr/>
          <w:p>
            <w:pPr>
              <w:pStyle w:val="Compact"/>
            </w:pPr>
            <w:r>
              <w:t xml:space="preserve">Ограничение расхода входных и выходных токенов</w:t>
            </w:r>
          </w:p>
        </w:tc>
        <w:tc>
          <w:tcPr/>
          <w:p>
            <w:pPr>
              <w:pStyle w:val="Compact"/>
            </w:pPr>
            <w:r>
              <w:t xml:space="preserve">Enterprise-плагин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Filtering</w:t>
            </w:r>
          </w:p>
        </w:tc>
        <w:tc>
          <w:tcPr/>
          <w:p>
            <w:pPr>
              <w:pStyle w:val="Compact"/>
            </w:pPr>
            <w:r>
              <w:t xml:space="preserve">Маскирование персональных данных</w:t>
            </w:r>
          </w:p>
        </w:tc>
        <w:tc>
          <w:tcPr/>
          <w:p>
            <w:pPr>
              <w:pStyle w:val="Compact"/>
            </w:pPr>
            <w:r>
              <w:t xml:space="preserve">EE, Agent Mesh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Caching</w:t>
            </w:r>
          </w:p>
        </w:tc>
        <w:tc>
          <w:tcPr/>
          <w:p>
            <w:pPr>
              <w:pStyle w:val="Compact"/>
            </w:pPr>
            <w:r>
              <w:t xml:space="preserve">Повторное использование ответов на семантически близкие запросы</w:t>
            </w:r>
          </w:p>
        </w:tc>
        <w:tc>
          <w:tcPr/>
          <w:p>
            <w:pPr>
              <w:pStyle w:val="Compact"/>
            </w:pPr>
            <w:r>
              <w:t xml:space="preserve">EE / Agent Mesh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Guard Rails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потенциально опасного содержимого</w:t>
            </w:r>
          </w:p>
        </w:tc>
        <w:tc>
          <w:tcPr/>
          <w:p>
            <w:pPr>
              <w:pStyle w:val="Compact"/>
            </w:pPr>
            <w:r>
              <w:t xml:space="preserve">Community-плагин в составе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Token Tracking</w:t>
            </w:r>
          </w:p>
        </w:tc>
        <w:tc>
          <w:tcPr/>
          <w:p>
            <w:pPr>
              <w:pStyle w:val="Compact"/>
            </w:pPr>
            <w:r>
              <w:t xml:space="preserve">Извлечение usage и расчётных затрат</w:t>
            </w:r>
          </w:p>
        </w:tc>
        <w:tc>
          <w:tcPr/>
          <w:p>
            <w:pPr>
              <w:pStyle w:val="Compact"/>
            </w:pPr>
            <w:r>
              <w:t xml:space="preserve">Community-плагин в составе проекта</w:t>
            </w:r>
          </w:p>
        </w:tc>
      </w:tr>
    </w:tbl>
    <w:p>
      <w:pPr>
        <w:pStyle w:val="BodyText"/>
      </w:pPr>
      <w:r>
        <w:t xml:space="preserve">Разделение компонентов проверено по</w:t>
      </w:r>
      <w:r>
        <w:t xml:space="preserve"> </w:t>
      </w:r>
      <w:r>
        <w:rPr>
          <w:b/>
          <w:bCs/>
        </w:rPr>
        <w:t xml:space="preserve">POM тега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4.12.17</w:t>
      </w:r>
      <w:r>
        <w:t xml:space="preserve">. Для A2A, PII, semantic caching и каталога дополнительно существуют явные требования в документации.</w:t>
      </w:r>
      <w:r>
        <w:t xml:space="preserve"> </w:t>
      </w:r>
      <w:r>
        <w:rPr>
          <w:b/>
          <w:bCs/>
        </w:rPr>
        <w:t xml:space="preserve">Community-плагин не означает бесплатность основной модели, инфраструктуры, поддержки или LLM Proxy, в котором он применяется.</w:t>
      </w:r>
    </w:p>
    <w:p>
      <w:pPr>
        <w:pStyle w:val="BodyText"/>
      </w:pPr>
      <w:r>
        <w:t xml:space="preserve">Это исправляет важное упрощение из нашей прошлой переписки:</w:t>
      </w:r>
      <w:r>
        <w:t xml:space="preserve"> </w:t>
      </w:r>
      <w:r>
        <w:rPr>
          <w:b/>
          <w:bCs/>
        </w:rPr>
        <w:t xml:space="preserve">неправильно относить вообще все AI-политики к платным только по наличию AI в названии</w:t>
      </w:r>
      <w:r>
        <w:t xml:space="preserve">.</w:t>
      </w:r>
    </w:p>
    <w:bookmarkEnd w:id="10"/>
    <w:bookmarkStart w:id="13" w:name="X0021f0f8e2fed892ea2b2242300cda06ce43549"/>
    <w:p>
      <w:pPr>
        <w:pStyle w:val="Heading2"/>
      </w:pPr>
      <w:r>
        <w:t xml:space="preserve">3. LLM Proxy: самая прикладная возможность для первого внедрения</w:t>
      </w:r>
    </w:p>
    <w:bookmarkStart w:id="11" w:name="что-он-даёт"/>
    <w:p>
      <w:pPr>
        <w:pStyle w:val="Heading3"/>
      </w:pPr>
      <w:r>
        <w:t xml:space="preserve">Что он даёт</w:t>
      </w:r>
    </w:p>
    <w:p>
      <w:pPr>
        <w:pStyle w:val="FirstParagraph"/>
      </w:pPr>
      <w:r>
        <w:t xml:space="preserve">Вместо отдельных интеграций каждой команды с каждым поставщиком появляется один корпоративный API. Gravitee принимает запрос, определяет модель и провайдера, применяет политики и при необходимости преобразует форматы запроса и ответа.</w:t>
      </w:r>
    </w:p>
    <w:p>
      <w:pPr>
        <w:pStyle w:val="BodyText"/>
      </w:pPr>
      <w:r>
        <w:t xml:space="preserve">В документации, существовавшей до выпуска 4.12.17, перечислены</w:t>
      </w:r>
      <w:r>
        <w:t xml:space="preserve"> </w:t>
      </w:r>
      <w:r>
        <w:rPr>
          <w:b/>
          <w:bCs/>
        </w:rPr>
        <w:t xml:space="preserve">OpenAI, OpenAI-compatible, Gemini, AWS Bedrock Converse, Anthropic и Vertex AI</w:t>
      </w:r>
      <w:r>
        <w:t xml:space="preserve">. Поддержка конкретных параметров и методов различается между провайдерами.</w:t>
      </w:r>
    </w:p>
    <w:p>
      <w:pPr>
        <w:pStyle w:val="BodyText"/>
      </w:pPr>
      <w:r>
        <w:t xml:space="preserve">Для вашей среды особенно интересен</w:t>
      </w:r>
      <w:r>
        <w:t xml:space="preserve"> </w:t>
      </w:r>
      <w:r>
        <w:rPr>
          <w:b/>
          <w:bCs/>
        </w:rPr>
        <w:t xml:space="preserve">OpenAI-compatible provider</w:t>
      </w:r>
      <w:r>
        <w:t xml:space="preserve">: он позволяет подключать совместимый inference-сервис по собственному адресу. Но название модели не гарантирует совместимость — важен реальный HTTP-контракт сервера.</w:t>
      </w:r>
    </w:p>
    <w:p>
      <w:pPr>
        <w:pStyle w:val="BodyText"/>
      </w:pPr>
      <w:r>
        <w:t xml:space="preserve">Практический сценарий: внутренний помощник и агент разработки получают разные приложения и подписки; доступ к моделям и ограничения задаются централизованно. Клиентам не приходится напрямую управлять всеми upstream credentials.</w:t>
      </w:r>
    </w:p>
    <w:bookmarkEnd w:id="11"/>
    <w:bookmarkStart w:id="12" w:name="X558c7b45311932cb4fc17593260983478f81fbd"/>
    <w:p>
      <w:pPr>
        <w:pStyle w:val="Heading3"/>
      </w:pPr>
      <w:r>
        <w:t xml:space="preserve">Критическое уточнение: совместимость не полная</w:t>
      </w:r>
    </w:p>
    <w:p>
      <w:pPr>
        <w:pStyle w:val="FirstParagraph"/>
      </w:pPr>
      <w:r>
        <w:t xml:space="preserve">Я отдельно проверил руководство</w:t>
      </w:r>
      <w:r>
        <w:t xml:space="preserve"> </w:t>
      </w:r>
      <w:r>
        <w:rPr>
          <w:b/>
          <w:bCs/>
        </w:rPr>
        <w:t xml:space="preserve">Accepted request formats в состоянии на дату выпуска 4.12.17</w:t>
      </w:r>
      <w:r>
        <w:t xml:space="preserve">. Оно содержит ограничения, которых не видно из общего описания «OpenAI-compatible»: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Responses API и история диалога</w:t>
            </w:r>
          </w:p>
        </w:tc>
        <w:tc>
          <w:tcPr/>
          <w:p>
            <w:pPr>
              <w:pStyle w:val="Compact"/>
            </w:pPr>
            <w:r>
              <w:t xml:space="preserve">Описан stateless-режим:</w:t>
            </w:r>
            <w:r>
              <w:t xml:space="preserve"> </w:t>
            </w:r>
            <w:r>
              <w:rPr>
                <w:rStyle w:val="VerbatimChar"/>
              </w:rPr>
              <w:t xml:space="preserve">previous_response_id</w:t>
            </w:r>
            <w:r>
              <w:t xml:space="preserve"> </w:t>
            </w:r>
            <w:r>
              <w:t xml:space="preserve">удаляется, историю требуется передавать явно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Преобразование Chat Completions → Responses</w:t>
            </w:r>
          </w:p>
        </w:tc>
        <w:tc>
          <w:tcPr/>
          <w:p>
            <w:pPr>
              <w:pStyle w:val="Compact"/>
            </w:pPr>
            <w:r>
              <w:t xml:space="preserve">Есть ограничения для choices, tool calls и structured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Gemini-native запросы</w:t>
            </w:r>
          </w:p>
        </w:tc>
        <w:tc>
          <w:tcPr/>
          <w:p>
            <w:pPr>
              <w:pStyle w:val="Compact"/>
            </w:pPr>
            <w:r>
              <w:t xml:space="preserve">Неподдержанные поля нормализации удаляются; среди них могут быть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toolConfig</w:t>
            </w:r>
            <w:r>
              <w:t xml:space="preserve"> </w:t>
            </w:r>
            <w:r>
              <w:t xml:space="preserve">и часть</w:t>
            </w:r>
            <w:r>
              <w:t xml:space="preserve"> </w:t>
            </w:r>
            <w:r>
              <w:rPr>
                <w:rStyle w:val="VerbatimChar"/>
              </w:rPr>
              <w:t xml:space="preserve">generationConfig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Gemini-native streaming</w:t>
            </w:r>
          </w:p>
        </w:tc>
        <w:tc>
          <w:tcPr/>
          <w:p>
            <w:pPr>
              <w:pStyle w:val="Compact"/>
            </w:pPr>
            <w:r>
              <w:t xml:space="preserve">Клиент может получить события Chat Completions, а не ожидаемый Gemini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Нестандартные параметры модели</w:t>
            </w:r>
          </w:p>
        </w:tc>
        <w:tc>
          <w:tcPr/>
          <w:p>
            <w:pPr>
              <w:pStyle w:val="Compact"/>
            </w:pPr>
            <w:r>
              <w:t xml:space="preserve">Нельзя заранее гарантировать, что дополнительные поля сохраняются на всех маршрутах</w:t>
            </w:r>
          </w:p>
        </w:tc>
      </w:tr>
    </w:tbl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означает, что все эти сценарии всегда не работают</w:t>
      </w:r>
      <w:r>
        <w:t xml:space="preserve">: поведение зависит от клиентского формата, backend и используемого преобразования. Но обещание «любой агентный SDK заработает после замены base URL» было бы неверным.</w:t>
      </w:r>
    </w:p>
    <w:p>
      <w:pPr>
        <w:pStyle w:val="BodyText"/>
      </w:pPr>
      <w:r>
        <w:rPr>
          <w:b/>
          <w:bCs/>
        </w:rPr>
        <w:t xml:space="preserve">Для coding agents это один из главных рисков.</w:t>
      </w:r>
      <w:r>
        <w:t xml:space="preserve"> </w:t>
      </w:r>
      <w:r>
        <w:t xml:space="preserve">Приёмочный тест должен включать реальный многошаговый сеанс: историю, streaming, вызовы инструментов и нужные дополнительные параметры, а не один успешный chat-запрос.</w:t>
      </w:r>
    </w:p>
    <w:bookmarkEnd w:id="12"/>
    <w:bookmarkEnd w:id="13"/>
    <w:bookmarkStart w:id="14" w:name="Xdfb25b44dce43aa591c8a619688525cc360418f"/>
    <w:p>
      <w:pPr>
        <w:pStyle w:val="Heading2"/>
      </w:pPr>
      <w:r>
        <w:t xml:space="preserve">4. Токенные лимиты: полезны, но не являются жёстким денежным потолком</w:t>
      </w:r>
    </w:p>
    <w:p>
      <w:pPr>
        <w:pStyle w:val="FirstParagraph"/>
      </w:pPr>
      <w:r>
        <w:t xml:space="preserve">Здесь нужно разделять:</w:t>
      </w:r>
    </w:p>
    <w:p>
      <w:pPr>
        <w:pStyle w:val="BodyText"/>
      </w:pPr>
      <w:r>
        <w:rPr>
          <w:b/>
          <w:bCs/>
        </w:rPr>
        <w:t xml:space="preserve">Rate Limit</w:t>
      </w:r>
      <w:r>
        <w:t xml:space="preserve"> </w:t>
      </w:r>
      <w:r>
        <w:t xml:space="preserve">— число запросов.</w:t>
      </w:r>
      <w:r>
        <w:br/>
      </w:r>
      <w:r>
        <w:rPr>
          <w:b/>
          <w:bCs/>
        </w:rPr>
        <w:t xml:space="preserve">AI Token Rate Limit</w:t>
      </w:r>
      <w:r>
        <w:t xml:space="preserve"> </w:t>
      </w:r>
      <w:r>
        <w:t xml:space="preserve">— сумма входных и выходных LLM-токенов за окно.</w:t>
      </w:r>
      <w:r>
        <w:br/>
      </w:r>
      <w:r>
        <w:rPr>
          <w:b/>
          <w:bCs/>
        </w:rPr>
        <w:t xml:space="preserve">Prompt Token Tracking</w:t>
      </w:r>
      <w:r>
        <w:t xml:space="preserve"> </w:t>
      </w:r>
      <w:r>
        <w:t xml:space="preserve">— статистика потребления и при необходимости расчёт стоимости.</w:t>
      </w:r>
    </w:p>
    <w:p>
      <w:pPr>
        <w:pStyle w:val="BodyText"/>
      </w:pPr>
      <w:r>
        <w:t xml:space="preserve">У AI Token Rate Limit есть статический и динамический лимит, окна в секундах/минутах, стандартный ключ plan/subscription и собственный ключ на Expression Language. Предусмотрены разные стратегии на случай проблем с хранилищем счётчиков.</w:t>
      </w:r>
    </w:p>
    <w:p>
      <w:pPr>
        <w:pStyle w:val="BodyText"/>
      </w:pPr>
      <w:r>
        <w:rPr>
          <w:b/>
          <w:bCs/>
        </w:rPr>
        <w:t xml:space="preserve">Самое важное ограничение:</w:t>
      </w:r>
      <w:r>
        <w:t xml:space="preserve"> </w:t>
      </w:r>
      <w:r>
        <w:t xml:space="preserve">окончательный расход учитывается</w:t>
      </w:r>
      <w:r>
        <w:t xml:space="preserve"> </w:t>
      </w:r>
      <w:r>
        <w:rPr>
          <w:b/>
          <w:bCs/>
        </w:rPr>
        <w:t xml:space="preserve">после обработки запроса и передачи полного ответа</w:t>
      </w:r>
      <w:r>
        <w:t xml:space="preserve">. Документация прямо называет это</w:t>
      </w:r>
      <w:r>
        <w:t xml:space="preserve"> </w:t>
      </w:r>
      <w:r>
        <w:rPr>
          <w:i/>
          <w:iCs/>
        </w:rPr>
        <w:t xml:space="preserve">one-request latency</w:t>
      </w:r>
      <w:r>
        <w:t xml:space="preserve">.</w:t>
      </w:r>
    </w:p>
    <w:p>
      <w:pPr>
        <w:pStyle w:val="BodyText"/>
      </w:pPr>
      <w:r>
        <w:t xml:space="preserve">Из этого следует: если одновременно стартовало несколько дорогих запросов, они могут превысить ожидаемый бюджет до обновления счётчика. Поэтому я рекомендую сочетать токенный лимит с ограничениями количества запросов, размера входа, длины ответа и механизмами самого inference backend.</w:t>
      </w:r>
    </w:p>
    <w:p>
      <w:pPr>
        <w:pStyle w:val="BodyText"/>
      </w:pPr>
      <w:r>
        <w:t xml:space="preserve">Расчётная стоимость также не равна счёту поставщика. Token Tracking считает её по заданным ценам входных и выходных токенов. Это удобно для распределения затрат между командами, но сложную тарификацию конкретного провайдера необходимо сверять отдельно.</w:t>
      </w:r>
    </w:p>
    <w:bookmarkEnd w:id="14"/>
    <w:bookmarkStart w:id="17" w:name="Xd7db4c3b5e05ce6fcbaa06b47bafbbb250ccdda"/>
    <w:p>
      <w:pPr>
        <w:pStyle w:val="Heading2"/>
      </w:pPr>
      <w:r>
        <w:t xml:space="preserve">5. Защитные AI-политики: два разных инструмента</w:t>
      </w:r>
    </w:p>
    <w:bookmarkStart w:id="15" w:name="prompt-guard-rails"/>
    <w:p>
      <w:pPr>
        <w:pStyle w:val="Heading3"/>
      </w:pPr>
      <w:r>
        <w:t xml:space="preserve">Prompt Guard Rails</w:t>
      </w:r>
    </w:p>
    <w:p>
      <w:pPr>
        <w:pStyle w:val="FirstParagraph"/>
      </w:pPr>
      <w:r>
        <w:t xml:space="preserve">Политика проверяет выбранный текст AI-классификатором. В зависимости от модели она может искать токсичность или признаки prompt injection/jailbreak. Можно</w:t>
      </w:r>
      <w:r>
        <w:t xml:space="preserve"> </w:t>
      </w:r>
      <w:r>
        <w:rPr>
          <w:b/>
          <w:bCs/>
        </w:rPr>
        <w:t xml:space="preserve">блокировать</w:t>
      </w:r>
      <w:r>
        <w:t xml:space="preserve"> </w:t>
      </w:r>
      <w:r>
        <w:t xml:space="preserve">запрос либо</w:t>
      </w:r>
      <w:r>
        <w:t xml:space="preserve"> </w:t>
      </w:r>
      <w:r>
        <w:rPr>
          <w:b/>
          <w:bCs/>
        </w:rPr>
        <w:t xml:space="preserve">пропускать, но отмечать</w:t>
      </w:r>
      <w:r>
        <w:t xml:space="preserve"> </w:t>
      </w:r>
      <w:r>
        <w:t xml:space="preserve">его. Настраиваются модель, проверяемые labels, порог и действие.</w:t>
      </w:r>
    </w:p>
    <w:p>
      <w:pPr>
        <w:pStyle w:val="BodyText"/>
      </w:pPr>
      <w:r>
        <w:t xml:space="preserve">Для вашей русскоязычной среды обнаружились два существенных ограничения:</w:t>
      </w:r>
    </w:p>
    <w:p>
      <w:pPr>
        <w:pStyle w:val="Compact"/>
        <w:numPr>
          <w:ilvl w:val="0"/>
          <w:numId w:val="1001"/>
        </w:numPr>
      </w:pPr>
      <w:r>
        <w:t xml:space="preserve">В перечне восьми языков описанных</w:t>
      </w:r>
      <w:r>
        <w:t xml:space="preserve"> </w:t>
      </w:r>
      <w:r>
        <w:rPr>
          <w:b/>
          <w:bCs/>
        </w:rPr>
        <w:t xml:space="preserve">Llama Prompt Guard</w:t>
      </w:r>
      <w:r>
        <w:t xml:space="preserve"> </w:t>
      </w:r>
      <w:r>
        <w:t xml:space="preserve">вариантов</w:t>
      </w:r>
      <w:r>
        <w:t xml:space="preserve"> </w:t>
      </w:r>
      <w:r>
        <w:rPr>
          <w:b/>
          <w:bCs/>
        </w:rPr>
        <w:t xml:space="preserve">нет русского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 этих моделей указан</w:t>
      </w:r>
      <w:r>
        <w:t xml:space="preserve"> </w:t>
      </w:r>
      <w:r>
        <w:rPr>
          <w:b/>
          <w:bCs/>
        </w:rPr>
        <w:t xml:space="preserve">контекст 512 токенов</w:t>
      </w:r>
      <w:r>
        <w:t xml:space="preserve">.</w:t>
      </w:r>
    </w:p>
    <w:p>
      <w:pPr>
        <w:pStyle w:val="FirstParagraph"/>
      </w:pPr>
      <w:r>
        <w:t xml:space="preserve">Это не доказывает, что русский вообще не распознаётся, но</w:t>
      </w:r>
      <w:r>
        <w:t xml:space="preserve"> </w:t>
      </w:r>
      <w:r>
        <w:rPr>
          <w:b/>
          <w:bCs/>
        </w:rPr>
        <w:t xml:space="preserve">достаточное качество на русском и длинных промптах документально не подтверждено</w:t>
      </w:r>
      <w:r>
        <w:t xml:space="preserve">. Его необходимо измерить.</w:t>
      </w:r>
    </w:p>
    <w:p>
      <w:pPr>
        <w:pStyle w:val="BodyText"/>
      </w:pPr>
      <w:r>
        <w:t xml:space="preserve">Также руководство предупреждает о проблеме ONNX Runtime с обычным Alpine-образом и необходимости Debian-варианта. Модели загружаются при первом использовании, поэтому нужно учитывать прогрев и память.</w:t>
      </w:r>
    </w:p>
    <w:p>
      <w:pPr>
        <w:pStyle w:val="BodyText"/>
      </w:pPr>
      <w:r>
        <w:t xml:space="preserve">Моя рекомендация — начинать с режима наблюдения и тестового корпуса.</w:t>
      </w:r>
      <w:r>
        <w:t xml:space="preserve"> </w:t>
      </w:r>
      <w:r>
        <w:rPr>
          <w:b/>
          <w:bCs/>
        </w:rPr>
        <w:t xml:space="preserve">Guard Rails должен дополнять контроль доступа, а не заменять его.</w:t>
      </w:r>
    </w:p>
    <w:bookmarkEnd w:id="15"/>
    <w:bookmarkStart w:id="16" w:name="pii-filtering"/>
    <w:p>
      <w:pPr>
        <w:pStyle w:val="Heading3"/>
      </w:pPr>
      <w:r>
        <w:t xml:space="preserve">PII Filtering</w:t>
      </w:r>
    </w:p>
    <w:p>
      <w:pPr>
        <w:pStyle w:val="FirstParagraph"/>
      </w:pPr>
      <w:r>
        <w:t xml:space="preserve">PII-политика обнаруживает персональные данные классификационной моделью и заменяет найденные фрагменты на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. Возможна проверка request и response, выбор категорий и порога уверенности.</w:t>
      </w:r>
    </w:p>
    <w:p>
      <w:pPr>
        <w:pStyle w:val="BodyText"/>
      </w:pPr>
      <w:r>
        <w:t xml:space="preserve">Но для LLM-чата есть особенно важное ограничение: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stream: true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skipResponsePayloadFiltering=false</w:t>
            </w:r>
          </w:p>
        </w:tc>
        <w:tc>
          <w:tcPr/>
          <w:p>
            <w:pPr>
              <w:pStyle w:val="Compact"/>
            </w:pPr>
            <w:r>
              <w:t xml:space="preserve">Запрос отклоняется с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skipResponsePayloadFiltering=true</w:t>
            </w:r>
          </w:p>
        </w:tc>
        <w:tc>
          <w:tcPr/>
          <w:p>
            <w:pPr>
              <w:pStyle w:val="Compact"/>
            </w:pPr>
            <w:r>
              <w:t xml:space="preserve">Request фильтруется, но</w:t>
            </w:r>
            <w:r>
              <w:t xml:space="preserve"> </w:t>
            </w:r>
            <w:r>
              <w:rPr>
                <w:b/>
                <w:bCs/>
              </w:rPr>
              <w:t xml:space="preserve">потоковый response не фильтруется</w:t>
            </w:r>
          </w:p>
        </w:tc>
      </w:tr>
    </w:tbl>
    <w:p>
      <w:pPr>
        <w:pStyle w:val="BodyText"/>
      </w:pPr>
      <w:r>
        <w:t xml:space="preserve">Это прямо описано в руководстве. Следовательно,</w:t>
      </w:r>
      <w:r>
        <w:t xml:space="preserve"> </w:t>
      </w:r>
      <w:r>
        <w:rPr>
          <w:b/>
          <w:bCs/>
        </w:rPr>
        <w:t xml:space="preserve">нельзя обещать полноценную проверку потокового ответа только потому, что PII-политика включена</w:t>
      </w:r>
      <w:r>
        <w:t xml:space="preserve">.</w:t>
      </w:r>
    </w:p>
    <w:p>
      <w:pPr>
        <w:pStyle w:val="BodyText"/>
      </w:pPr>
      <w:r>
        <w:t xml:space="preserve">Для страхового/корпоративного контекста отдельно нужно проверить российские имена, документы и внутренние идентификаторы. Наличие категории в конфигурации — ещё не доказательство качества распознавания нужных данных.</w:t>
      </w:r>
    </w:p>
    <w:bookmarkEnd w:id="16"/>
    <w:bookmarkEnd w:id="17"/>
    <w:bookmarkStart w:id="18" w:name="X6e044efaa771aa81f17470fdafe2ce7625697fe"/>
    <w:p>
      <w:pPr>
        <w:pStyle w:val="Heading2"/>
      </w:pPr>
      <w:r>
        <w:t xml:space="preserve">6. Semantic Caching: экономия на повторяющихся вопросах</w:t>
      </w:r>
    </w:p>
    <w:p>
      <w:pPr>
        <w:pStyle w:val="FirstParagraph"/>
      </w:pPr>
      <w:r>
        <w:t xml:space="preserve">Механизм преобразует запрос в embedding, ищет похожую запись в vector store и при достаточно близком совпадении возвращает сохранённый ответ без обращения к основной LLM. Нужны</w:t>
      </w:r>
      <w:r>
        <w:t xml:space="preserve"> </w:t>
      </w:r>
      <w:r>
        <w:rPr>
          <w:b/>
          <w:bCs/>
        </w:rPr>
        <w:t xml:space="preserve">LLM Proxy, embedding resource и vector store</w:t>
      </w:r>
      <w:r>
        <w:t xml:space="preserve">; документированы Redis и AWS S3 Vectors.</w:t>
      </w:r>
    </w:p>
    <w:p>
      <w:pPr>
        <w:pStyle w:val="BodyText"/>
      </w:pPr>
      <w:r>
        <w:t xml:space="preserve">Для первого применения я рекомендую</w:t>
      </w:r>
      <w:r>
        <w:t xml:space="preserve"> </w:t>
      </w:r>
      <w:r>
        <w:rPr>
          <w:b/>
          <w:bCs/>
        </w:rPr>
        <w:t xml:space="preserve">обезличенный FAQ по стабильным инструкциям</w:t>
      </w:r>
      <w:r>
        <w:t xml:space="preserve">.</w:t>
      </w:r>
    </w:p>
    <w:p>
      <w:pPr>
        <w:pStyle w:val="BodyText"/>
      </w:pPr>
      <w:r>
        <w:t xml:space="preserve">Не рекомендую начинать с персональных расчётов, текущего статуса выплат и других ответов, которые зависят от пользователя или быстро меняющихся данных. Например, одинаковый вопрос «Какой статус моей заявки?» должен давать разные ответы разным людям.</w:t>
      </w:r>
    </w:p>
    <w:p>
      <w:pPr>
        <w:pStyle w:val="BodyText"/>
      </w:pPr>
      <w:r>
        <w:t xml:space="preserve">У политики есть параметры контекста; в стандартном примере используются API, plan и user-id. Но</w:t>
      </w:r>
      <w:r>
        <w:t xml:space="preserve"> </w:t>
      </w:r>
      <w:r>
        <w:rPr>
          <w:b/>
          <w:bCs/>
        </w:rPr>
        <w:t xml:space="preserve">корректность изоляции необходимо проверить</w:t>
      </w:r>
      <w:r>
        <w:t xml:space="preserve">, особенно если user-id не устанавливается вашей схемой авторизации. Дополнительно могут потребоваться tenant, права, модель и версия базы знаний.</w:t>
      </w:r>
    </w:p>
    <w:p>
      <w:pPr>
        <w:pStyle w:val="BodyText"/>
      </w:pPr>
      <w:r>
        <w:t xml:space="preserve">Ещё один технический нюанс: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в описании использует</w:t>
      </w:r>
      <w:r>
        <w:t xml:space="preserve"> </w:t>
      </w:r>
      <w:r>
        <w:rPr>
          <w:b/>
          <w:bCs/>
        </w:rPr>
        <w:t xml:space="preserve">MurmurHash3</w:t>
      </w:r>
      <w:r>
        <w:t xml:space="preserve">, а не шифрование. Кеш хранит содержимое ответа и metadata, поэтому ему нужны собственные правила доступа и retention.</w:t>
      </w:r>
    </w:p>
    <w:p>
      <w:pPr>
        <w:pStyle w:val="BodyText"/>
      </w:pPr>
      <w:r>
        <w:rPr>
          <w:b/>
          <w:bCs/>
        </w:rPr>
        <w:t xml:space="preserve">Высокий cache hit rate сам по себе не успех.</w:t>
      </w:r>
      <w:r>
        <w:t xml:space="preserve"> </w:t>
      </w:r>
      <w:r>
        <w:t xml:space="preserve">Важнее проверить, что похожему запросу не возвращается чужой, устаревший или просто неподходящий ответ.</w:t>
      </w:r>
    </w:p>
    <w:bookmarkEnd w:id="18"/>
    <w:bookmarkStart w:id="21" w:name="Xa68fe2206b025340a0b99307b2f96fef98b55a3"/>
    <w:p>
      <w:pPr>
        <w:pStyle w:val="Heading2"/>
      </w:pPr>
      <w:r>
        <w:t xml:space="preserve">7. MCP: наиболее интересное расширение ваших корпоративных API</w:t>
      </w:r>
    </w:p>
    <w:bookmarkStart w:id="19" w:name="rest-mcp-tool-server"/>
    <w:p>
      <w:pPr>
        <w:pStyle w:val="Heading3"/>
      </w:pPr>
      <w:r>
        <w:t xml:space="preserve">REST → MCP Tool Server</w:t>
      </w:r>
    </w:p>
    <w:p>
      <w:pPr>
        <w:pStyle w:val="FirstParagraph"/>
      </w:pPr>
      <w:r>
        <w:t xml:space="preserve">Gravitee генерирует инструменты из OpenAPI: одна операция превращается в tool,</w:t>
      </w:r>
      <w:r>
        <w:t xml:space="preserve"> </w:t>
      </w:r>
      <w:r>
        <w:rPr>
          <w:rStyle w:val="VerbatimChar"/>
        </w:rPr>
        <w:t xml:space="preserve">operationId</w:t>
      </w:r>
      <w:r>
        <w:t xml:space="preserve"> </w:t>
      </w:r>
      <w:r>
        <w:t xml:space="preserve">задаёт имя,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 описание, а параметры и request body — схему аргументов.</w:t>
      </w:r>
    </w:p>
    <w:p>
      <w:pPr>
        <w:pStyle w:val="BodyText"/>
      </w:pPr>
      <w:r>
        <w:t xml:space="preserve">Для вашего автодеплоя это перспективно: OpenAPI становится контрактом и для обычных потребителей, и для агентов.</w:t>
      </w:r>
    </w:p>
    <w:p>
      <w:pPr>
        <w:pStyle w:val="BodyText"/>
      </w:pPr>
      <w:r>
        <w:rPr>
          <w:b/>
          <w:bCs/>
        </w:rPr>
        <w:t xml:space="preserve">Но функция работает только с V4 Proxy API. Ваши V2 API с V4 Emulation Engine не становятся от этого V4 Proxy definitions.</w:t>
      </w:r>
      <w:r>
        <w:t xml:space="preserve"> </w:t>
      </w:r>
      <w:r>
        <w:t xml:space="preserve">Этот момент необходимо учесть до планирования массовой публикации инструментов.</w:t>
      </w:r>
    </w:p>
    <w:p>
      <w:pPr>
        <w:pStyle w:val="BodyText"/>
      </w:pPr>
      <w:r>
        <w:t xml:space="preserve">Не обязательно мигрировать всё сразу. Для пилота можно подготовить несколько отдельных V4 Proxy API, например для чтения статуса заявки или поиска документации.</w:t>
      </w:r>
    </w:p>
    <w:p>
      <w:pPr>
        <w:pStyle w:val="BodyText"/>
      </w:pPr>
      <w:r>
        <w:t xml:space="preserve">Также генерация</w:t>
      </w:r>
      <w:r>
        <w:t xml:space="preserve"> </w:t>
      </w:r>
      <w:r>
        <w:rPr>
          <w:b/>
          <w:bCs/>
        </w:rPr>
        <w:t xml:space="preserve">заменяет весь набор tools</w:t>
      </w:r>
      <w:r>
        <w:t xml:space="preserve">, а не дополняет его. Изменения нужно вносить в исходную спецификацию и генерировать заново.</w:t>
      </w:r>
    </w:p>
    <w:bookmarkEnd w:id="19"/>
    <w:bookmarkStart w:id="20" w:name="mcp-proxy-и-acl"/>
    <w:p>
      <w:pPr>
        <w:pStyle w:val="Heading3"/>
      </w:pPr>
      <w:r>
        <w:t xml:space="preserve">MCP Proxy и ACL</w:t>
      </w:r>
    </w:p>
    <w:p>
      <w:pPr>
        <w:pStyle w:val="FirstParagraph"/>
      </w:pPr>
      <w:r>
        <w:t xml:space="preserve">MCP Proxy — другой сценарий: готовый MCP-сервер уже существует, а Gravitee ставится перед ним.</w:t>
      </w:r>
    </w:p>
    <w:p>
      <w:pPr>
        <w:pStyle w:val="BodyText"/>
      </w:pPr>
      <w:r>
        <w:t xml:space="preserve">MCP ACL позволяет раздельно разрешать получение списка и вызов инструментов. Например, агент может видеть и вызывать только</w:t>
      </w:r>
      <w:r>
        <w:t xml:space="preserve"> </w:t>
      </w:r>
      <w:r>
        <w:rPr>
          <w:rStyle w:val="VerbatimChar"/>
        </w:rPr>
        <w:t xml:space="preserve">get_ticket_status</w:t>
      </w:r>
      <w:r>
        <w:t xml:space="preserve">, но не административные инструменты. Возможны условия на проверенные claims или атрибуты запроса.</w:t>
      </w:r>
      <w:r>
        <w:t xml:space="preserve"> </w:t>
      </w:r>
      <w:r>
        <w:rPr>
          <w:b/>
          <w:bCs/>
        </w:rPr>
        <w:t xml:space="preserve">При добавлении ACL без правил действует deny-all.</w:t>
      </w:r>
    </w:p>
    <w:p>
      <w:pPr>
        <w:pStyle w:val="BodyText"/>
      </w:pPr>
      <w:r>
        <w:t xml:space="preserve">Важная граница: MCP ACL документирован для</w:t>
      </w:r>
      <w:r>
        <w:t xml:space="preserve"> </w:t>
      </w:r>
      <w:r>
        <w:rPr>
          <w:b/>
          <w:bCs/>
        </w:rPr>
        <w:t xml:space="preserve">MCP Proxy</w:t>
      </w:r>
      <w:r>
        <w:t xml:space="preserve">, поэтому его нельзя без проверки считать автоматически применимым к REST API с MCP Entrypoint.</w:t>
      </w:r>
    </w:p>
    <w:p>
      <w:pPr>
        <w:pStyle w:val="BodyText"/>
      </w:pPr>
      <w:r>
        <w:t xml:space="preserve">И независимо от Gateway backend должен проверять предметные права.</w:t>
      </w:r>
      <w:r>
        <w:t xml:space="preserve"> </w:t>
      </w:r>
      <w:r>
        <w:rPr>
          <w:b/>
          <w:bCs/>
        </w:rPr>
        <w:t xml:space="preserve">Разрешение вызвать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get_ticket_status(ticket_id)</w:t>
      </w:r>
      <w:r>
        <w:rPr>
          <w:b/>
          <w:bCs/>
        </w:rPr>
        <w:t xml:space="preserve"> </w:t>
      </w:r>
      <w:r>
        <w:rPr>
          <w:b/>
          <w:bCs/>
        </w:rPr>
        <w:t xml:space="preserve">не означает право читать любую заявку по произвольному ID.</w:t>
      </w:r>
    </w:p>
    <w:bookmarkEnd w:id="20"/>
    <w:bookmarkEnd w:id="21"/>
    <w:bookmarkStart w:id="22" w:name="a2a-и-каталог-агентов"/>
    <w:p>
      <w:pPr>
        <w:pStyle w:val="Heading2"/>
      </w:pPr>
      <w:r>
        <w:t xml:space="preserve">8. A2A и каталог агентов</w:t>
      </w:r>
    </w:p>
    <w:p>
      <w:pPr>
        <w:pStyle w:val="FirstParagraph"/>
      </w:pPr>
      <w:r>
        <w:t xml:space="preserve">A2A Proxy полезен, когда уже есть самостоятельные агентные сервисы, которым нужно делегировать задачи через управляемую точку доступа. В 4.12 это специализированная функциональность EE с AI Agent Management pack.</w:t>
      </w:r>
    </w:p>
    <w:p>
      <w:pPr>
        <w:pStyle w:val="BodyText"/>
      </w:pPr>
      <w:r>
        <w:t xml:space="preserve">Для миграции есть конкретное предупреждение:</w:t>
      </w:r>
      <w:r>
        <w:t xml:space="preserve"> </w:t>
      </w:r>
      <w:r>
        <w:rPr>
          <w:b/>
          <w:bCs/>
        </w:rPr>
        <w:t xml:space="preserve">A2A proxy APIs, созданные до 4.11, не поддерживаются — их требуется пересоздать.</w:t>
      </w:r>
      <w:r>
        <w:t xml:space="preserve"> </w:t>
      </w:r>
      <w:r>
        <w:t xml:space="preserve">Наша прежняя формулировка «ранняя реализация → полноценная» была слишком расплывчатой.</w:t>
      </w:r>
    </w:p>
    <w:p>
      <w:pPr>
        <w:pStyle w:val="BodyText"/>
      </w:pPr>
      <w:r>
        <w:t xml:space="preserve">Agent Catalog решает отдельную задачу — обнаружение и каталогизацию Agent Cards через Federation. В каталог можно добавить агент, трафик к которому вообще не проходит через Gateway. Поэтому</w:t>
      </w:r>
      <w:r>
        <w:t xml:space="preserve"> </w:t>
      </w:r>
      <w:r>
        <w:rPr>
          <w:b/>
          <w:bCs/>
        </w:rPr>
        <w:t xml:space="preserve">каталогизация не равна принудительному контролю всех взаимодействий</w:t>
      </w:r>
      <w:r>
        <w:t xml:space="preserve">.</w:t>
      </w:r>
    </w:p>
    <w:p>
      <w:pPr>
        <w:pStyle w:val="BodyText"/>
      </w:pPr>
      <w:r>
        <w:t xml:space="preserve">Для вашей команды я бы отложил A2A до появления реальных агентных сервисов. Одного желания подключить LLM или открыть REST API агенту для этого недостаточно — там полезнее LLM Proxy и MCP.</w:t>
      </w:r>
    </w:p>
    <w:bookmarkEnd w:id="22"/>
    <w:bookmarkStart w:id="23" w:name="аналитика-и-эксплуатация"/>
    <w:p>
      <w:pPr>
        <w:pStyle w:val="Heading2"/>
      </w:pPr>
      <w:r>
        <w:t xml:space="preserve">9. Аналитика и эксплуатация</w:t>
      </w:r>
    </w:p>
    <w:p>
      <w:pPr>
        <w:pStyle w:val="FirstParagraph"/>
      </w:pPr>
      <w:r>
        <w:t xml:space="preserve">Документированы специализированные dashboards:</w:t>
      </w:r>
    </w:p>
    <w:p>
      <w:pPr>
        <w:pStyle w:val="BodyText"/>
      </w:pPr>
      <w:r>
        <w:rPr>
          <w:b/>
          <w:bCs/>
        </w:rPr>
        <w:t xml:space="preserve">LLM:</w:t>
      </w:r>
      <w:r>
        <w:t xml:space="preserve"> </w:t>
      </w:r>
      <w:r>
        <w:t xml:space="preserve">запросы, модели, токены, расчётные затраты, стоимость на запрос, HTTP-статусы.</w:t>
      </w:r>
      <w:r>
        <w:br/>
      </w:r>
      <w:r>
        <w:rPr>
          <w:b/>
          <w:bCs/>
        </w:rPr>
        <w:t xml:space="preserve">MCP:</w:t>
      </w:r>
      <w:r>
        <w:t xml:space="preserve"> </w:t>
      </w:r>
      <w:r>
        <w:t xml:space="preserve">частота методов, популярные tools/resources/prompts, latency, response time и percentile-метрики.</w:t>
      </w:r>
    </w:p>
    <w:p>
      <w:pPr>
        <w:pStyle w:val="BodyText"/>
      </w:pPr>
      <w:r>
        <w:t xml:space="preserve">Они полезны для вопросов «кто потребляет ресурс?» и «где замедление?». Но</w:t>
      </w:r>
      <w:r>
        <w:t xml:space="preserve"> </w:t>
      </w:r>
      <w:r>
        <w:rPr>
          <w:b/>
          <w:bCs/>
        </w:rPr>
        <w:t xml:space="preserve">HTTP 200 и корректные usage-метрики ничего не доказывают о правильности AI-ответа</w:t>
      </w:r>
      <w:r>
        <w:t xml:space="preserve">. Качество сценария нужно проверять отдельными тестами.</w:t>
      </w:r>
    </w:p>
    <w:p>
      <w:pPr>
        <w:pStyle w:val="BodyText"/>
      </w:pPr>
      <w:r>
        <w:t xml:space="preserve">С учётом описанных вами проблем с диском и логированием я рекомендую начинать с метаданных: потребитель, API/tool/model, длительность, токены, результат и error key. Полные prompts/responses включать только для ограниченной диагностики с согласованным сроком хранения.</w:t>
      </w:r>
    </w:p>
    <w:p>
      <w:pPr>
        <w:pStyle w:val="BodyText"/>
      </w:pPr>
      <w:r>
        <w:t xml:space="preserve">AI-политики с локальными моделями требуют отдельного sizing. Рекомендую выделенную группу Gateway для AI-трафика: так загрузка моделей и долгие streams меньше влияют на обычные корпоративные API.</w:t>
      </w:r>
    </w:p>
    <w:bookmarkEnd w:id="23"/>
    <w:bookmarkStart w:id="24" w:name="Xa8bcf47c11218f740a8781a3951fafba3a88024"/>
    <w:p>
      <w:pPr>
        <w:pStyle w:val="Heading2"/>
      </w:pPr>
      <w:r>
        <w:t xml:space="preserve">10. Что отсутствует или требует внимания именно в 4.12.17</w:t>
      </w:r>
    </w:p>
    <w:p>
      <w:pPr>
        <w:pStyle w:val="FirstParagraph"/>
      </w:pPr>
      <w:r>
        <w:t xml:space="preserve">Нельзя считать, что все возможности и исправления современной документации линии 4.12 уже есть в</w:t>
      </w:r>
      <w:r>
        <w:t xml:space="preserve"> </w:t>
      </w:r>
      <w:r>
        <w:rPr>
          <w:rStyle w:val="VerbatimChar"/>
        </w:rPr>
        <w:t xml:space="preserve">.17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</w:pPr>
            <w:r>
              <w:t xml:space="preserve">Где появилось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</w:t>
            </w:r>
            <w:r>
              <w:t xml:space="preserve"> </w:t>
            </w:r>
            <w:r>
              <w:rPr>
                <w:b/>
                <w:bCs/>
              </w:rPr>
              <w:t xml:space="preserve">CORS для LLM Proxy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4.12.18</w:t>
            </w:r>
          </w:p>
        </w:tc>
        <w:tc>
          <w:tcPr/>
          <w:p>
            <w:pPr>
              <w:pStyle w:val="Compact"/>
            </w:pPr>
            <w:r>
              <w:t xml:space="preserve">Не обещать штатную настройку этого сценария в</w:t>
            </w:r>
            <w:r>
              <w:t xml:space="preserve"> </w:t>
            </w:r>
            <w:r>
              <w:rPr>
                <w:rStyle w:val="VerbatimChar"/>
              </w:rPr>
              <w:t xml:space="preserve">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Исправление добавления общих model aliases в существующую группу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4.12.19</w:t>
            </w:r>
          </w:p>
        </w:tc>
        <w:tc>
          <w:tcPr/>
          <w:p>
            <w:pPr>
              <w:pStyle w:val="Compact"/>
            </w:pPr>
            <w:r>
              <w:t xml:space="preserve">Проверить нужный workflow изменения моделей в</w:t>
            </w:r>
            <w:r>
              <w:t xml:space="preserve"> </w:t>
            </w:r>
            <w:r>
              <w:rPr>
                <w:rStyle w:val="VerbatimChar"/>
              </w:rPr>
              <w:t xml:space="preserve">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Исправление класса ошибок reused keep-alive connection / отсутствия retry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4.12.18</w:t>
            </w:r>
          </w:p>
        </w:tc>
        <w:tc>
          <w:tcPr/>
          <w:p>
            <w:pPr>
              <w:pStyle w:val="Compact"/>
            </w:pPr>
            <w:r>
              <w:t xml:space="preserve">Не считать</w:t>
            </w:r>
            <w:r>
              <w:t xml:space="preserve"> </w:t>
            </w:r>
            <w:r>
              <w:rPr>
                <w:rStyle w:val="VerbatimChar"/>
              </w:rPr>
              <w:t xml:space="preserve">.17</w:t>
            </w:r>
            <w:r>
              <w:t xml:space="preserve"> </w:t>
            </w:r>
            <w:r>
              <w:t xml:space="preserve">автоматически свободной от connection-reuse проблем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Исправление утечки NetClient при health checks после перехода на Vert.x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4.12.16</w:t>
            </w:r>
          </w:p>
        </w:tc>
        <w:tc>
          <w:tcPr/>
          <w:p>
            <w:pPr>
              <w:pStyle w:val="Compact"/>
            </w:pPr>
            <w:r>
              <w:t xml:space="preserve">В штатном</w:t>
            </w:r>
            <w:r>
              <w:t xml:space="preserve"> </w:t>
            </w:r>
            <w:r>
              <w:rPr>
                <w:rStyle w:val="VerbatimChar"/>
              </w:rPr>
              <w:t xml:space="preserve">.17</w:t>
            </w:r>
            <w:r>
              <w:t xml:space="preserve"> </w:t>
            </w:r>
            <w:r>
              <w:t xml:space="preserve">исправление уже должно присутствовать</w:t>
            </w:r>
          </w:p>
        </w:tc>
      </w:tr>
    </w:tbl>
    <w:p>
      <w:pPr>
        <w:pStyle w:val="BodyText"/>
      </w:pPr>
      <w:r>
        <w:t xml:space="preserve">Это разграничение следует из changelog. Оно не означает рекомендации слепо перейти на следующий patch: там же описываются собственные регрессии отдельных выпусков. Для нового пилота следует согласовать с поставщиком поддерживаемый patch под нужные сценарии.</w:t>
      </w:r>
    </w:p>
    <w:bookmarkEnd w:id="24"/>
    <w:bookmarkStart w:id="25" w:name="рекомендуемый-порядок-внедрения"/>
    <w:p>
      <w:pPr>
        <w:pStyle w:val="Heading2"/>
      </w:pPr>
      <w:r>
        <w:t xml:space="preserve">11. Рекомендуемый порядок внедрения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Что должно быть доказано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LLM-доступ</w:t>
            </w:r>
          </w:p>
        </w:tc>
        <w:tc>
          <w:tcPr/>
          <w:p>
            <w:pPr>
              <w:pStyle w:val="Compact"/>
            </w:pPr>
            <w:r>
              <w:t xml:space="preserve">Один одобренный backend, два приложения-потребителя</w:t>
            </w:r>
          </w:p>
        </w:tc>
        <w:tc>
          <w:tcPr/>
          <w:p>
            <w:pPr>
              <w:pStyle w:val="Compact"/>
            </w:pPr>
            <w:r>
              <w:t xml:space="preserve">Раздельные права, совместимость клиента, достоверный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Контроль потребления</w:t>
            </w:r>
          </w:p>
        </w:tc>
        <w:tc>
          <w:tcPr/>
          <w:p>
            <w:pPr>
              <w:pStyle w:val="Compact"/>
            </w:pPr>
            <w:r>
              <w:t xml:space="preserve">Request/token limits</w:t>
            </w:r>
          </w:p>
        </w:tc>
        <w:tc>
          <w:tcPr/>
          <w:p>
            <w:pPr>
              <w:pStyle w:val="Compact"/>
            </w:pPr>
            <w:r>
              <w:t xml:space="preserve">Поведение при параллельности и отказе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MCP</w:t>
            </w:r>
          </w:p>
        </w:tc>
        <w:tc>
          <w:tcPr/>
          <w:p>
            <w:pPr>
              <w:pStyle w:val="Compact"/>
            </w:pPr>
            <w:r>
              <w:t xml:space="preserve">Несколько read-only инструментов</w:t>
            </w:r>
          </w:p>
        </w:tc>
        <w:tc>
          <w:tcPr/>
          <w:p>
            <w:pPr>
              <w:pStyle w:val="Compact"/>
            </w:pPr>
            <w:r>
              <w:t xml:space="preserve">Доступ только к разрешённым операциям и объектам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Защитные политики</w:t>
            </w:r>
          </w:p>
        </w:tc>
        <w:tc>
          <w:tcPr/>
          <w:p>
            <w:pPr>
              <w:pStyle w:val="Compact"/>
            </w:pPr>
            <w:r>
              <w:t xml:space="preserve">Guard Rails в наблюдении; PII в подходящем сценарии</w:t>
            </w:r>
          </w:p>
        </w:tc>
        <w:tc>
          <w:tcPr/>
          <w:p>
            <w:pPr>
              <w:pStyle w:val="Compact"/>
            </w:pPr>
            <w:r>
              <w:t xml:space="preserve">Качество на русском, понятные ограничения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Кеш</w:t>
            </w:r>
          </w:p>
        </w:tc>
        <w:tc>
          <w:tcPr/>
          <w:p>
            <w:pPr>
              <w:pStyle w:val="Compact"/>
            </w:pPr>
            <w:r>
              <w:t xml:space="preserve">Обезличенный FAQ</w:t>
            </w:r>
          </w:p>
        </w:tc>
        <w:tc>
          <w:tcPr/>
          <w:p>
            <w:pPr>
              <w:pStyle w:val="Compact"/>
            </w:pPr>
            <w:r>
              <w:t xml:space="preserve">Отсутствие неверных/чужих ответов, TTL и чистая 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A2A</w:t>
            </w:r>
          </w:p>
        </w:tc>
        <w:tc>
          <w:tcPr/>
          <w:p>
            <w:pPr>
              <w:pStyle w:val="Compact"/>
            </w:pPr>
            <w:r>
              <w:t xml:space="preserve">Два реальных агентных сервиса</w:t>
            </w:r>
          </w:p>
        </w:tc>
        <w:tc>
          <w:tcPr/>
          <w:p>
            <w:pPr>
              <w:pStyle w:val="Compact"/>
            </w:pPr>
            <w:r>
              <w:t xml:space="preserve">Делегирование с отдельными правами и прослеживаемым результатом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Итоговая рекомендация:</w:t>
      </w:r>
      <w:r>
        <w:t xml:space="preserve"> </w:t>
      </w:r>
      <w:r>
        <w:t xml:space="preserve">для вас наиболее сильное обоснование EE — управляемый доступ к моделям и безопасная публикация корпоративных инструментов, а не сам факт наличия AI-фич. Первый пилот стоит строить вокруг LLM Proxy и небольшого MCP-набора. PII, Guard Rails и semantic cache добавлять после проверки их ограничений на реальных для компании сценариях.</w:t>
      </w:r>
    </w:p>
    <w:p>
      <w:pPr>
        <w:pStyle w:val="BodyText"/>
      </w:pPr>
      <w:r>
        <w:t xml:space="preserve">Окончательное решение о закупке и production-внедрении должно опираться на подтверждённый лицензионный состав и результаты испытаний. В приложенном отчёте приведена программа из</w:t>
      </w:r>
      <w:r>
        <w:t xml:space="preserve"> </w:t>
      </w:r>
      <w:r>
        <w:rPr>
          <w:b/>
          <w:bCs/>
        </w:rPr>
        <w:t xml:space="preserve">15 приёмочных проверок</w:t>
      </w:r>
      <w:r>
        <w:t xml:space="preserve">, включая streaming, отмену запросов, многоузловые лимиты, изоляцию кеша, права инструментов и rollback.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