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8E2D" w14:textId="77777777" w:rsidR="001F2525" w:rsidRDefault="00D97546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Flow Cytometric Analysis of NK Cell Activity</w:t>
      </w:r>
    </w:p>
    <w:p w14:paraId="7924F96F" w14:textId="77777777" w:rsidR="001F2525" w:rsidRDefault="00D97546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05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05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29</w:t>
      </w:r>
    </w:p>
    <w:p w14:paraId="1A821428" w14:textId="77777777" w:rsidR="001F2525" w:rsidRDefault="00D97546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Xudong Tang, Yang Jin, Binxuan Zhang, Kaiqing Zhang, Xuantong Liu</w:t>
      </w:r>
    </w:p>
    <w:p w14:paraId="0B4C0DB0" w14:textId="77777777" w:rsidR="001F2525" w:rsidRDefault="00D97546">
      <w:pPr>
        <w:pStyle w:val="ac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Materials: </w:t>
      </w:r>
      <w:r>
        <w:rPr>
          <w:rFonts w:ascii="Times New Roman" w:hAnsi="Times New Roman" w:cs="Times New Roman" w:hint="eastAsia"/>
        </w:rPr>
        <w:t>Flow cytometer, CD107a-APC, CD56-PE, CD69-FITC, Ice-cold PBS Staining buffer, Brefeldin A, 4% paraformaldehyde (PFA), 0.1% Triton X-100</w:t>
      </w:r>
    </w:p>
    <w:p w14:paraId="7FB5D387" w14:textId="77777777" w:rsidR="001F2525" w:rsidRDefault="00D97546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bCs/>
          <w:sz w:val="24"/>
          <w:szCs w:val="28"/>
        </w:rPr>
        <w:t>Method:</w:t>
      </w:r>
    </w:p>
    <w:p w14:paraId="7D80E3E4" w14:textId="77777777" w:rsidR="001F2525" w:rsidRDefault="00D97546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hint="eastAsia"/>
          <w:b/>
          <w:bCs/>
        </w:rPr>
        <w:t>Cell preparation</w:t>
      </w:r>
      <w:r>
        <w:rPr>
          <w:rFonts w:ascii="Times New Roman" w:hAnsi="Times New Roman"/>
          <w:b/>
          <w:bCs/>
        </w:rPr>
        <w:t>:</w:t>
      </w:r>
    </w:p>
    <w:p w14:paraId="54B399CA" w14:textId="77777777" w:rsidR="001F2525" w:rsidRDefault="00D97546">
      <w:pPr>
        <w:pStyle w:val="ac"/>
        <w:ind w:left="845" w:firstLineChars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hint="eastAsia"/>
        </w:rPr>
        <w:t xml:space="preserve">NK cells </w:t>
      </w:r>
      <w:r>
        <w:rPr>
          <w:rFonts w:ascii="Times New Roman" w:hAnsi="Times New Roman"/>
        </w:rPr>
        <w:t>pre-activated</w:t>
      </w:r>
      <w:r>
        <w:rPr>
          <w:rFonts w:ascii="Times New Roman" w:hAnsi="Times New Roman" w:hint="eastAsia"/>
        </w:rPr>
        <w:t xml:space="preserve"> by B34G35R, B51G35R, and B51G9 </w:t>
      </w:r>
      <w:r>
        <w:rPr>
          <w:rFonts w:ascii="Times New Roman" w:hAnsi="Times New Roman" w:cs="Times New Roman" w:hint="eastAsia"/>
        </w:rPr>
        <w:t>are collected from</w:t>
      </w:r>
      <w:r w:rsidR="00F13D61">
        <w:rPr>
          <w:rFonts w:ascii="Times New Roman" w:hAnsi="Times New Roman" w:cs="Times New Roman"/>
        </w:rPr>
        <w:t xml:space="preserve"> previously proliferated cells</w:t>
      </w:r>
      <w:r>
        <w:rPr>
          <w:rFonts w:ascii="Times New Roman" w:hAnsi="Times New Roman" w:cs="Times New Roman" w:hint="eastAsia"/>
        </w:rPr>
        <w:t xml:space="preserve">, with </w:t>
      </w:r>
      <w:r>
        <w:rPr>
          <w:rFonts w:ascii="Times New Roman" w:hAnsi="Times New Roman"/>
        </w:rPr>
        <w:t>0.5-1</w:t>
      </w:r>
      <w:r w:rsidR="00953AF8">
        <w:rPr>
          <w:rFonts w:ascii="Times New Roman" w:hAnsi="Times New Roman"/>
        </w:rPr>
        <w:t xml:space="preserve"> </w:t>
      </w:r>
      <w:r w:rsidR="00953AF8" w:rsidRPr="00C45254">
        <w:rPr>
          <w:rFonts w:ascii="Times New Roman" w:hAnsi="Times New Roman"/>
          <w:szCs w:val="24"/>
        </w:rPr>
        <w:t>×</w:t>
      </w:r>
      <w:r>
        <w:rPr>
          <w:rFonts w:ascii="Times New Roman" w:hAnsi="Times New Roman"/>
        </w:rPr>
        <w:t xml:space="preserve"> 10⁶ PBMCs or 0.1-0.5</w:t>
      </w:r>
      <w:r w:rsidR="00953AF8">
        <w:rPr>
          <w:rFonts w:ascii="Times New Roman" w:hAnsi="Times New Roman"/>
        </w:rPr>
        <w:t xml:space="preserve"> </w:t>
      </w:r>
      <w:r w:rsidR="00953AF8" w:rsidRPr="00C45254">
        <w:rPr>
          <w:rFonts w:ascii="Times New Roman" w:hAnsi="Times New Roman"/>
          <w:szCs w:val="24"/>
        </w:rPr>
        <w:t>×</w:t>
      </w:r>
      <w:r w:rsidR="00953AF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</w:rPr>
        <w:t>10⁶ purified cells per condition</w:t>
      </w:r>
      <w:r>
        <w:rPr>
          <w:rFonts w:ascii="Times New Roman" w:hAnsi="Times New Roman" w:hint="eastAsia"/>
        </w:rPr>
        <w:t xml:space="preserve">. </w:t>
      </w:r>
    </w:p>
    <w:p w14:paraId="091FACE2" w14:textId="77777777" w:rsidR="001F2525" w:rsidRDefault="00D97546">
      <w:pPr>
        <w:pStyle w:val="ac"/>
        <w:ind w:left="440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The cells are r</w:t>
      </w:r>
      <w:r>
        <w:rPr>
          <w:rFonts w:ascii="Times New Roman" w:hAnsi="Times New Roman"/>
        </w:rPr>
        <w:t>esuspend</w:t>
      </w:r>
      <w:r>
        <w:rPr>
          <w:rFonts w:ascii="Times New Roman" w:hAnsi="Times New Roman" w:hint="eastAsia"/>
        </w:rPr>
        <w:t>ed</w:t>
      </w:r>
      <w:r>
        <w:rPr>
          <w:rFonts w:ascii="Times New Roman" w:hAnsi="Times New Roman"/>
        </w:rPr>
        <w:t xml:space="preserve"> in pre-warmed (37</w:t>
      </w:r>
      <w:r w:rsidR="00953A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°C) culture medium at appropriate density.</w:t>
      </w:r>
    </w:p>
    <w:p w14:paraId="1F380D0E" w14:textId="77777777" w:rsidR="001F2525" w:rsidRDefault="00D97546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Surface staining:</w:t>
      </w:r>
      <w:r>
        <w:rPr>
          <w:rFonts w:ascii="Times New Roman" w:hAnsi="Times New Roman"/>
          <w:b/>
          <w:bCs/>
        </w:rPr>
        <w:t xml:space="preserve"> </w:t>
      </w:r>
    </w:p>
    <w:p w14:paraId="44599958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 w:hint="eastAsia"/>
        </w:rPr>
        <w:t>69</w:t>
      </w:r>
      <w:r>
        <w:rPr>
          <w:rFonts w:ascii="Times New Roman" w:hAnsi="Times New Roman" w:cs="Times New Roman"/>
        </w:rPr>
        <w:t xml:space="preserve"> expression was analyzed in </w:t>
      </w:r>
      <w:r>
        <w:rPr>
          <w:rFonts w:ascii="Times New Roman" w:hAnsi="Times New Roman" w:cs="Times New Roman" w:hint="eastAsia"/>
        </w:rPr>
        <w:t>all twenty grou</w:t>
      </w:r>
      <w:r>
        <w:rPr>
          <w:rFonts w:ascii="Times New Roman" w:hAnsi="Times New Roman" w:cs="Times New Roman"/>
        </w:rPr>
        <w:t xml:space="preserve">ps demonstrating cytotoxic activity using flow cytometry. </w:t>
      </w:r>
    </w:p>
    <w:p w14:paraId="3C5C94D8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Post-cytotoxicity assay, cells in each well were washed once with 1 mL of ice-cold PBS and resuspended in 100 μL staining buffer. </w:t>
      </w:r>
    </w:p>
    <w:p w14:paraId="46C6EE12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Cells were stained with </w:t>
      </w:r>
      <w:r>
        <w:rPr>
          <w:rFonts w:ascii="Times New Roman" w:hAnsi="Times New Roman" w:cs="Times New Roman" w:hint="eastAsia"/>
        </w:rPr>
        <w:t>CD69-FITC</w:t>
      </w:r>
      <w:r w:rsidR="00953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(BioLegend</w:t>
      </w:r>
      <w:r w:rsidR="00953AF8">
        <w:rPr>
          <w:rFonts w:ascii="Times New Roman" w:hAnsi="Times New Roman" w:cs="Times New Roman"/>
        </w:rPr>
        <w:t>, 310904</w:t>
      </w:r>
      <w:r>
        <w:rPr>
          <w:rFonts w:ascii="Times New Roman" w:hAnsi="Times New Roman" w:cs="Times New Roman" w:hint="eastAsia"/>
        </w:rPr>
        <w:t>), CD56-PE</w:t>
      </w:r>
      <w:r w:rsidR="00953AF8">
        <w:rPr>
          <w:rFonts w:ascii="Times New Roman" w:hAnsi="Times New Roman" w:cs="Times New Roman"/>
        </w:rPr>
        <w:t xml:space="preserve"> </w:t>
      </w:r>
      <w:r w:rsidR="00953AF8">
        <w:rPr>
          <w:rFonts w:ascii="Times New Roman" w:hAnsi="Times New Roman" w:cs="Times New Roman" w:hint="eastAsia"/>
        </w:rPr>
        <w:t>(BioLegend,</w:t>
      </w:r>
      <w:r w:rsidR="00953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362508), CD107a-APC</w:t>
      </w:r>
      <w:r w:rsidR="00953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(BioLegend,</w:t>
      </w:r>
      <w:r w:rsidR="00953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328620) to identify NK cells. </w:t>
      </w:r>
    </w:p>
    <w:p w14:paraId="58A80CF1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Activated NK cells were defined as CD56⁺CD</w:t>
      </w:r>
      <w:r>
        <w:rPr>
          <w:rFonts w:ascii="Times New Roman" w:hAnsi="Times New Roman" w:cs="Times New Roman" w:hint="eastAsia"/>
        </w:rPr>
        <w:t>69</w:t>
      </w:r>
      <w:r>
        <w:rPr>
          <w:rFonts w:ascii="Times New Roman" w:hAnsi="Times New Roman" w:cs="Times New Roman"/>
        </w:rPr>
        <w:t xml:space="preserve">⁺, while total NK cells were CD56⁺. </w:t>
      </w:r>
    </w:p>
    <w:p w14:paraId="420562AD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CD69-FITC (1</w:t>
      </w:r>
      <w:r>
        <w:rPr>
          <w:rFonts w:ascii="Times New Roman" w:hAnsi="Times New Roman"/>
        </w:rPr>
        <w:t>:100)</w:t>
      </w:r>
      <w:r>
        <w:rPr>
          <w:rFonts w:ascii="Times New Roman" w:hAnsi="Times New Roman" w:hint="eastAsia"/>
        </w:rPr>
        <w:t xml:space="preserve">, CD107a-APC and </w:t>
      </w:r>
      <w:r>
        <w:rPr>
          <w:rFonts w:ascii="Times New Roman" w:hAnsi="Times New Roman"/>
        </w:rPr>
        <w:t>CD56-PE</w:t>
      </w:r>
      <w:r>
        <w:rPr>
          <w:rFonts w:ascii="Times New Roman" w:hAnsi="Times New Roman" w:cs="Times New Roman"/>
        </w:rPr>
        <w:t xml:space="preserve"> (1:50)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were</w:t>
      </w:r>
      <w:r>
        <w:rPr>
          <w:rFonts w:ascii="Times New Roman" w:hAnsi="Times New Roman"/>
        </w:rPr>
        <w:t xml:space="preserve"> added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/>
        </w:rPr>
        <w:t xml:space="preserve">Samples </w:t>
      </w:r>
      <w:r>
        <w:rPr>
          <w:rFonts w:ascii="Times New Roman" w:hAnsi="Times New Roman" w:cs="Times New Roman" w:hint="eastAsia"/>
        </w:rPr>
        <w:t xml:space="preserve">were </w:t>
      </w:r>
      <w:r>
        <w:rPr>
          <w:rFonts w:ascii="Times New Roman" w:hAnsi="Times New Roman"/>
        </w:rPr>
        <w:t>incubated at 4</w:t>
      </w:r>
      <w:r w:rsidR="00953A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°C for 30 min protected from light.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Control tubes were prepared</w:t>
      </w:r>
      <w:r>
        <w:rPr>
          <w:rFonts w:ascii="Times New Roman" w:hAnsi="Times New Roman" w:hint="eastAsia"/>
        </w:rPr>
        <w:t>.</w:t>
      </w:r>
    </w:p>
    <w:p w14:paraId="63A75A9E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 </w:t>
      </w:r>
      <w:r w:rsidR="00953AF8" w:rsidRPr="00F63621">
        <w:rPr>
          <w:rFonts w:ascii="Times New Roman" w:hAnsi="Times New Roman"/>
          <w:szCs w:val="24"/>
        </w:rPr>
        <w:t>μ</w:t>
      </w:r>
      <w:r w:rsidR="00953AF8">
        <w:rPr>
          <w:rFonts w:ascii="Times New Roman" w:hAnsi="Times New Roman" w:hint="eastAsia"/>
          <w:szCs w:val="24"/>
        </w:rPr>
        <w:t>L</w:t>
      </w:r>
      <w:r>
        <w:rPr>
          <w:rFonts w:ascii="Times New Roman" w:hAnsi="Times New Roman"/>
        </w:rPr>
        <w:t xml:space="preserve"> ice-cold Flow Staining Buffer</w:t>
      </w:r>
      <w:r>
        <w:rPr>
          <w:rFonts w:ascii="Times New Roman" w:hAnsi="Times New Roman" w:hint="eastAsia"/>
        </w:rPr>
        <w:t xml:space="preserve"> was added. The tube was centrifuged at </w:t>
      </w:r>
      <w:r>
        <w:rPr>
          <w:rFonts w:ascii="Times New Roman" w:hAnsi="Times New Roman"/>
        </w:rPr>
        <w:t xml:space="preserve">300 </w:t>
      </w:r>
      <w:r w:rsidR="00953AF8" w:rsidRPr="00C45254">
        <w:rPr>
          <w:rFonts w:ascii="Times New Roman" w:hAnsi="Times New Roman"/>
          <w:szCs w:val="24"/>
        </w:rPr>
        <w:t>×</w:t>
      </w:r>
      <w:r>
        <w:rPr>
          <w:rFonts w:ascii="Times New Roman" w:hAnsi="Times New Roman"/>
        </w:rPr>
        <w:t xml:space="preserve"> g</w:t>
      </w:r>
      <w:r>
        <w:rPr>
          <w:rFonts w:ascii="Times New Roman" w:hAnsi="Times New Roman" w:hint="eastAsia"/>
        </w:rPr>
        <w:t xml:space="preserve"> for </w:t>
      </w:r>
      <w:r>
        <w:rPr>
          <w:rFonts w:ascii="Times New Roman" w:hAnsi="Times New Roman"/>
        </w:rPr>
        <w:t>5 min</w:t>
      </w:r>
      <w:r>
        <w:rPr>
          <w:rFonts w:ascii="Times New Roman" w:hAnsi="Times New Roman" w:hint="eastAsia"/>
        </w:rPr>
        <w:t>. And the supernatant was aspirated completely.</w:t>
      </w:r>
    </w:p>
    <w:p w14:paraId="264C3C16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The cells are resuspended with </w:t>
      </w:r>
      <w:r>
        <w:rPr>
          <w:rFonts w:ascii="Times New Roman" w:hAnsi="Times New Roman"/>
        </w:rPr>
        <w:t xml:space="preserve">100-200 </w:t>
      </w:r>
      <w:r w:rsidR="00953AF8" w:rsidRPr="00F63621">
        <w:rPr>
          <w:rFonts w:ascii="Times New Roman" w:hAnsi="Times New Roman"/>
          <w:szCs w:val="24"/>
        </w:rPr>
        <w:t>μ</w:t>
      </w:r>
      <w:r w:rsidR="00953AF8">
        <w:rPr>
          <w:rFonts w:ascii="Times New Roman" w:hAnsi="Times New Roman" w:hint="eastAsia"/>
          <w:szCs w:val="24"/>
        </w:rPr>
        <w:t>L</w:t>
      </w:r>
      <w:r w:rsidR="00953AF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</w:rPr>
        <w:t>Fixation Buffer</w:t>
      </w:r>
      <w:r>
        <w:rPr>
          <w:rFonts w:ascii="Times New Roman" w:hAnsi="Times New Roman" w:hint="eastAsia"/>
        </w:rPr>
        <w:t xml:space="preserve">, and incubated at </w:t>
      </w:r>
      <w:r>
        <w:rPr>
          <w:rFonts w:ascii="Times New Roman" w:hAnsi="Times New Roman"/>
        </w:rPr>
        <w:t>room temperature for 15-30 min.</w:t>
      </w:r>
    </w:p>
    <w:p w14:paraId="55A9E5EB" w14:textId="77777777" w:rsidR="001F2525" w:rsidRDefault="00D97546">
      <w:pPr>
        <w:pStyle w:val="ac"/>
        <w:widowControl/>
        <w:numPr>
          <w:ilvl w:val="0"/>
          <w:numId w:val="3"/>
        </w:numPr>
        <w:ind w:left="1205" w:firstLineChars="0" w:hanging="360"/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200 </w:t>
      </w:r>
      <w:r w:rsidR="00953AF8" w:rsidRPr="00F63621">
        <w:rPr>
          <w:rFonts w:ascii="Times New Roman" w:hAnsi="Times New Roman"/>
          <w:szCs w:val="24"/>
        </w:rPr>
        <w:t>μ</w:t>
      </w:r>
      <w:r w:rsidR="00953AF8">
        <w:rPr>
          <w:rFonts w:ascii="Times New Roman" w:hAnsi="Times New Roman" w:hint="eastAsia"/>
          <w:szCs w:val="24"/>
        </w:rPr>
        <w:t>L</w:t>
      </w:r>
      <w:r>
        <w:rPr>
          <w:rFonts w:ascii="Times New Roman" w:hAnsi="Times New Roman" w:hint="eastAsia"/>
        </w:rPr>
        <w:t xml:space="preserve"> F</w:t>
      </w:r>
      <w:r>
        <w:rPr>
          <w:rFonts w:ascii="Times New Roman" w:hAnsi="Times New Roman"/>
        </w:rPr>
        <w:t>low Staining Buffer</w:t>
      </w:r>
      <w:r>
        <w:rPr>
          <w:rFonts w:ascii="Times New Roman" w:hAnsi="Times New Roman" w:hint="eastAsia"/>
        </w:rPr>
        <w:t xml:space="preserve"> was added and the tube was</w:t>
      </w:r>
      <w:r>
        <w:rPr>
          <w:rFonts w:ascii="Times New Roman" w:hAnsi="Times New Roman"/>
        </w:rPr>
        <w:t xml:space="preserve"> </w:t>
      </w:r>
      <w:r w:rsidR="00953AF8">
        <w:rPr>
          <w:rFonts w:ascii="Times New Roman" w:hAnsi="Times New Roman"/>
        </w:rPr>
        <w:t>centrifuged</w:t>
      </w:r>
      <w:r>
        <w:rPr>
          <w:rFonts w:ascii="Times New Roman" w:hAnsi="Times New Roman" w:hint="eastAsia"/>
        </w:rPr>
        <w:t xml:space="preserve"> at </w:t>
      </w:r>
      <w:r>
        <w:rPr>
          <w:rFonts w:ascii="Times New Roman" w:hAnsi="Times New Roman"/>
        </w:rPr>
        <w:t>300</w:t>
      </w:r>
      <w:bookmarkStart w:id="0" w:name="OLE_LINK12"/>
      <w:bookmarkStart w:id="1" w:name="OLE_LINK13"/>
      <w:r>
        <w:rPr>
          <w:rFonts w:ascii="Times New Roman" w:hAnsi="Times New Roman"/>
        </w:rPr>
        <w:t xml:space="preserve"> </w:t>
      </w:r>
      <w:r w:rsidR="00953AF8" w:rsidRPr="00C45254">
        <w:rPr>
          <w:rFonts w:ascii="Times New Roman" w:hAnsi="Times New Roman"/>
          <w:szCs w:val="24"/>
        </w:rPr>
        <w:t>×</w:t>
      </w:r>
      <w:bookmarkEnd w:id="0"/>
      <w:bookmarkEnd w:id="1"/>
      <w:r>
        <w:rPr>
          <w:rFonts w:ascii="Times New Roman" w:hAnsi="Times New Roman"/>
        </w:rPr>
        <w:t xml:space="preserve"> g</w:t>
      </w:r>
      <w:r>
        <w:rPr>
          <w:rFonts w:ascii="Times New Roman" w:hAnsi="Times New Roman" w:hint="eastAsia"/>
        </w:rPr>
        <w:t xml:space="preserve"> for</w:t>
      </w:r>
      <w:r>
        <w:rPr>
          <w:rFonts w:ascii="Times New Roman" w:hAnsi="Times New Roman"/>
        </w:rPr>
        <w:t xml:space="preserve"> 5 min.</w:t>
      </w:r>
      <w:r>
        <w:rPr>
          <w:rFonts w:ascii="Times New Roman" w:hAnsi="Times New Roman" w:hint="eastAsia"/>
        </w:rPr>
        <w:t xml:space="preserve"> The supernatant was aspirated completely.</w:t>
      </w:r>
      <w:r>
        <w:rPr>
          <w:rFonts w:ascii="Times New Roman" w:hAnsi="Times New Roman"/>
          <w:b/>
          <w:bCs/>
        </w:rPr>
        <w:t xml:space="preserve"> </w:t>
      </w:r>
    </w:p>
    <w:p w14:paraId="71E63E9C" w14:textId="77777777" w:rsidR="001F2525" w:rsidRDefault="00D97546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Acquisition:</w:t>
      </w:r>
    </w:p>
    <w:p w14:paraId="28FCE980" w14:textId="77777777" w:rsidR="001F2525" w:rsidRDefault="00D97546">
      <w:pPr>
        <w:pStyle w:val="ac"/>
        <w:numPr>
          <w:ilvl w:val="0"/>
          <w:numId w:val="4"/>
        </w:numPr>
        <w:ind w:left="1300" w:firstLineChars="0" w:hanging="44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suspension was transferred to </w:t>
      </w:r>
      <w:r>
        <w:rPr>
          <w:rFonts w:ascii="Times New Roman" w:hAnsi="Times New Roman"/>
        </w:rPr>
        <w:t>flow cytometry sample tubes</w:t>
      </w:r>
      <w:r>
        <w:rPr>
          <w:rFonts w:ascii="Times New Roman" w:hAnsi="Times New Roman" w:hint="eastAsia"/>
        </w:rPr>
        <w:t>.</w:t>
      </w:r>
    </w:p>
    <w:p w14:paraId="09968CAD" w14:textId="77777777" w:rsidR="001F2525" w:rsidRDefault="00D97546">
      <w:pPr>
        <w:pStyle w:val="ac"/>
        <w:numPr>
          <w:ilvl w:val="0"/>
          <w:numId w:val="4"/>
        </w:numPr>
        <w:ind w:left="1300" w:firstLineChars="0" w:hanging="440"/>
        <w:rPr>
          <w:rFonts w:ascii="Times New Roman" w:hAnsi="Times New Roman"/>
        </w:rPr>
      </w:pPr>
      <w:r>
        <w:rPr>
          <w:rFonts w:ascii="Times New Roman" w:hAnsi="Times New Roman"/>
        </w:rPr>
        <w:t>Analysis Strategy:</w:t>
      </w:r>
    </w:p>
    <w:p w14:paraId="6F9F6CA9" w14:textId="77777777" w:rsidR="001F2525" w:rsidRDefault="00D97546">
      <w:pPr>
        <w:pStyle w:val="ac"/>
        <w:ind w:left="88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Gate to exclude doublets (using FSC-A vs FSC-H).</w:t>
      </w:r>
    </w:p>
    <w:p w14:paraId="521888DA" w14:textId="77777777" w:rsidR="001F2525" w:rsidRDefault="00D97546">
      <w:pPr>
        <w:pStyle w:val="ac"/>
        <w:ind w:left="88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Gate to exclude dead cells (using a viability dye).</w:t>
      </w:r>
    </w:p>
    <w:p w14:paraId="1246FDF9" w14:textId="77777777" w:rsidR="001F2525" w:rsidRDefault="00D97546">
      <w:pPr>
        <w:pStyle w:val="ac"/>
        <w:ind w:left="88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Identify the target cell population (NK cells: CD3⁻ CD56⁺).</w:t>
      </w:r>
    </w:p>
    <w:p w14:paraId="4889E6B7" w14:textId="77777777" w:rsidR="001F2525" w:rsidRDefault="00D97546">
      <w:pPr>
        <w:pStyle w:val="ac"/>
        <w:ind w:leftChars="619" w:left="130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Analyze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expression levels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CD69</w:t>
      </w:r>
      <w:r>
        <w:rPr>
          <w:rFonts w:ascii="Times New Roman" w:hAnsi="Times New Roman" w:hint="eastAsia"/>
        </w:rPr>
        <w:t xml:space="preserve"> and CD107a</w:t>
      </w:r>
      <w:r>
        <w:rPr>
          <w:rFonts w:ascii="Times New Roman" w:hAnsi="Times New Roman"/>
        </w:rPr>
        <w:t> on the surface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NK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cells</w:t>
      </w:r>
      <w:r>
        <w:rPr>
          <w:rFonts w:ascii="Times New Roman" w:hAnsi="Times New Roman" w:hint="eastAsia"/>
        </w:rPr>
        <w:t xml:space="preserve">. </w:t>
      </w:r>
    </w:p>
    <w:p w14:paraId="0ACEACEC" w14:textId="77777777" w:rsidR="0096759E" w:rsidRPr="0096759E" w:rsidRDefault="00D97546" w:rsidP="0096759E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Result:</w:t>
      </w:r>
    </w:p>
    <w:p w14:paraId="145BE6BC" w14:textId="483F5BBC" w:rsidR="0096759E" w:rsidRPr="0096759E" w:rsidRDefault="0096759E" w:rsidP="0096759E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5F447F87" wp14:editId="41AF0913">
            <wp:extent cx="4840234" cy="1588011"/>
            <wp:effectExtent l="0" t="0" r="0" b="0"/>
            <wp:docPr id="414299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9135" name="图片 4142991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34" cy="15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2EF" w14:textId="070AC174" w:rsidR="001F2525" w:rsidRPr="0096759E" w:rsidRDefault="0096759E" w:rsidP="0096759E">
      <w:pPr>
        <w:rPr>
          <w:rFonts w:ascii="Times New Roman" w:hAnsi="Times New Roman"/>
          <w:b/>
          <w:bCs/>
          <w14:ligatures w14:val="standardContextual"/>
        </w:rPr>
      </w:pPr>
      <w:r>
        <w:rPr>
          <w:rFonts w:ascii="Times New Roman" w:hAnsi="Times New Roman" w:hint="eastAsia"/>
          <w:b/>
          <w:bCs/>
        </w:rPr>
        <w:t>Figure</w:t>
      </w:r>
      <w:r w:rsidR="00D97546" w:rsidRPr="0096759E">
        <w:rPr>
          <w:rFonts w:ascii="Times New Roman" w:hAnsi="Times New Roman" w:hint="eastAsia"/>
          <w:b/>
          <w:bCs/>
        </w:rPr>
        <w:t>.1</w:t>
      </w:r>
      <w:r w:rsidR="00D97546" w:rsidRPr="0096759E">
        <w:rPr>
          <w:rFonts w:ascii="Times New Roman" w:hAnsi="Times New Roman" w:hint="eastAsia"/>
        </w:rPr>
        <w:t xml:space="preserve"> </w:t>
      </w:r>
      <w:r w:rsidRPr="0096759E">
        <w:rPr>
          <w:rFonts w:ascii="Times New Roman" w:hAnsi="Times New Roman"/>
        </w:rPr>
        <w:t xml:space="preserve">CD107a </w:t>
      </w:r>
      <w:r w:rsidRPr="0096759E">
        <w:rPr>
          <w:rFonts w:ascii="Times New Roman" w:hAnsi="Times New Roman" w:hint="eastAsia"/>
        </w:rPr>
        <w:t xml:space="preserve">and CD69 </w:t>
      </w:r>
      <w:r w:rsidRPr="0096759E">
        <w:rPr>
          <w:rFonts w:ascii="Times New Roman" w:hAnsi="Times New Roman"/>
        </w:rPr>
        <w:t xml:space="preserve">expression were analyzed in effector cells after </w:t>
      </w:r>
      <w:r w:rsidRPr="0096759E">
        <w:rPr>
          <w:rFonts w:ascii="Times New Roman" w:hAnsi="Times New Roman" w:hint="eastAsia"/>
        </w:rPr>
        <w:t>stimulated by IL-2 and its mimics</w:t>
      </w:r>
      <w:r w:rsidRPr="0096759E">
        <w:rPr>
          <w:rFonts w:ascii="Times New Roman" w:hAnsi="Times New Roman"/>
        </w:rPr>
        <w:t>.</w:t>
      </w:r>
      <w:r w:rsidRPr="0096759E">
        <w:rPr>
          <w:rFonts w:ascii="Times New Roman" w:hAnsi="Times New Roman" w:hint="eastAsia"/>
        </w:rPr>
        <w:t xml:space="preserve"> </w:t>
      </w:r>
      <w:r w:rsidRPr="0096759E">
        <w:rPr>
          <w:rFonts w:ascii="Times New Roman" w:hAnsi="Times New Roman"/>
        </w:rPr>
        <w:t>Data are representative of at least three independent experiments</w:t>
      </w:r>
      <w:r w:rsidRPr="0096759E">
        <w:rPr>
          <w:rFonts w:ascii="Times New Roman" w:hAnsi="Times New Roman" w:hint="eastAsia"/>
        </w:rPr>
        <w:t xml:space="preserve"> (**</w:t>
      </w:r>
      <w:r w:rsidRPr="0096759E">
        <w:rPr>
          <w:rFonts w:ascii="Times New Roman" w:hAnsi="Times New Roman"/>
          <w:i/>
          <w:iCs/>
        </w:rPr>
        <w:t xml:space="preserve">P </w:t>
      </w:r>
      <w:r w:rsidRPr="0096759E">
        <w:rPr>
          <w:rFonts w:ascii="Times New Roman" w:hAnsi="Times New Roman" w:hint="eastAsia"/>
        </w:rPr>
        <w:t>&lt; 0.01, *</w:t>
      </w:r>
      <w:r w:rsidRPr="0096759E">
        <w:rPr>
          <w:rFonts w:ascii="Times New Roman" w:hAnsi="Times New Roman"/>
          <w:i/>
          <w:iCs/>
        </w:rPr>
        <w:t xml:space="preserve">P </w:t>
      </w:r>
      <w:r w:rsidRPr="0096759E">
        <w:rPr>
          <w:rFonts w:ascii="Times New Roman" w:hAnsi="Times New Roman" w:hint="eastAsia"/>
        </w:rPr>
        <w:t>&lt; 0.05)</w:t>
      </w:r>
      <w:r w:rsidRPr="0096759E">
        <w:rPr>
          <w:rFonts w:ascii="Times New Roman" w:hAnsi="Times New Roman"/>
        </w:rPr>
        <w:t>.</w:t>
      </w:r>
    </w:p>
    <w:sectPr w:rsidR="001F2525" w:rsidRPr="0096759E">
      <w:headerReference w:type="default" r:id="rId8"/>
      <w:pgSz w:w="11906" w:h="16838"/>
      <w:pgMar w:top="1134" w:right="1134" w:bottom="1134" w:left="1134" w:header="568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1CDBC" w14:textId="77777777" w:rsidR="007942D2" w:rsidRDefault="007942D2">
      <w:r>
        <w:separator/>
      </w:r>
    </w:p>
  </w:endnote>
  <w:endnote w:type="continuationSeparator" w:id="0">
    <w:p w14:paraId="24E74D4F" w14:textId="77777777" w:rsidR="007942D2" w:rsidRDefault="00794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B68BE" w14:textId="77777777" w:rsidR="007942D2" w:rsidRDefault="007942D2">
      <w:r>
        <w:separator/>
      </w:r>
    </w:p>
  </w:footnote>
  <w:footnote w:type="continuationSeparator" w:id="0">
    <w:p w14:paraId="79803569" w14:textId="77777777" w:rsidR="007942D2" w:rsidRDefault="00794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3C898" w14:textId="77777777" w:rsidR="001F2525" w:rsidRDefault="00D97546">
    <w:pPr>
      <w:pStyle w:val="a6"/>
      <w:spacing w:line="360" w:lineRule="auto"/>
      <w:jc w:val="left"/>
      <w:rPr>
        <w:rFonts w:ascii="Times New Roman" w:hAnsi="Times New Roman"/>
        <w:b/>
        <w:sz w:val="32"/>
        <w:szCs w:val="32"/>
      </w:rPr>
    </w:pPr>
    <w:proofErr w:type="spellStart"/>
    <w:r>
      <w:rPr>
        <w:rFonts w:ascii="Times New Roman" w:hAnsi="Times New Roman"/>
        <w:b/>
        <w:sz w:val="32"/>
        <w:szCs w:val="32"/>
      </w:rPr>
      <w:t>SynthImmunol_NMU</w:t>
    </w:r>
    <w:proofErr w:type="spellEnd"/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</w:t>
    </w:r>
    <w:r>
      <w:rPr>
        <w:rFonts w:ascii="Times New Roman" w:hAnsi="Times New Roman" w:hint="eastAsia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</w:t>
    </w:r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        No.</w:t>
    </w:r>
    <w:r w:rsidR="007E30C2" w:rsidRPr="007E30C2">
      <w:rPr>
        <w:rFonts w:ascii="Times New Roman" w:hAnsi="Times New Roman"/>
        <w:b/>
        <w:sz w:val="32"/>
        <w:szCs w:val="32"/>
        <w:u w:val="single"/>
      </w:rPr>
      <w:t>13</w:t>
    </w:r>
  </w:p>
  <w:p w14:paraId="14C357E6" w14:textId="77777777" w:rsidR="001F2525" w:rsidRDefault="00D97546">
    <w:pPr>
      <w:pStyle w:val="a6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</w:t>
    </w:r>
    <w:r>
      <w:rPr>
        <w:rFonts w:ascii="Times New Roman" w:hAnsi="Times New Roman" w:hint="eastAsia"/>
        <w:b/>
        <w:sz w:val="24"/>
        <w:szCs w:val="24"/>
      </w:rPr>
      <w:t>5</w:t>
    </w:r>
    <w:r>
      <w:rPr>
        <w:rFonts w:ascii="Times New Roman" w:hAnsi="Times New Roman"/>
        <w:b/>
        <w:sz w:val="24"/>
        <w:szCs w:val="24"/>
      </w:rPr>
      <w:t>.05.10-202</w:t>
    </w:r>
    <w:r>
      <w:rPr>
        <w:rFonts w:ascii="Times New Roman" w:hAnsi="Times New Roman" w:hint="eastAsia"/>
        <w:b/>
        <w:sz w:val="24"/>
        <w:szCs w:val="24"/>
      </w:rPr>
      <w:t>5</w:t>
    </w:r>
    <w:r>
      <w:rPr>
        <w:rFonts w:ascii="Times New Roman" w:hAnsi="Times New Roman"/>
        <w:b/>
        <w:sz w:val="24"/>
        <w:szCs w:val="24"/>
      </w:rPr>
      <w:t>.05.29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0CD6926"/>
    <w:multiLevelType w:val="singleLevel"/>
    <w:tmpl w:val="D0CD6926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F3608E67"/>
    <w:multiLevelType w:val="singleLevel"/>
    <w:tmpl w:val="F3608E6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2E253022"/>
    <w:multiLevelType w:val="singleLevel"/>
    <w:tmpl w:val="2E25302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6FF25CDC"/>
    <w:multiLevelType w:val="multilevel"/>
    <w:tmpl w:val="6FF25CD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654916193">
    <w:abstractNumId w:val="3"/>
  </w:num>
  <w:num w:numId="2" w16cid:durableId="1132358738">
    <w:abstractNumId w:val="0"/>
  </w:num>
  <w:num w:numId="3" w16cid:durableId="769620429">
    <w:abstractNumId w:val="2"/>
  </w:num>
  <w:num w:numId="4" w16cid:durableId="112107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QyOTljMzVkNjMyYTlkZmVhNjgwYTgyZGJjYTRkMjIifQ=="/>
  </w:docVars>
  <w:rsids>
    <w:rsidRoot w:val="0022508A"/>
    <w:rsid w:val="00000C59"/>
    <w:rsid w:val="0004762D"/>
    <w:rsid w:val="00066FB4"/>
    <w:rsid w:val="001313B2"/>
    <w:rsid w:val="001805D7"/>
    <w:rsid w:val="00185F7F"/>
    <w:rsid w:val="001D2B48"/>
    <w:rsid w:val="001F2525"/>
    <w:rsid w:val="0022508A"/>
    <w:rsid w:val="00227BF6"/>
    <w:rsid w:val="002B2F0A"/>
    <w:rsid w:val="002B436B"/>
    <w:rsid w:val="002D26BA"/>
    <w:rsid w:val="003404F1"/>
    <w:rsid w:val="00384656"/>
    <w:rsid w:val="003D4E63"/>
    <w:rsid w:val="003F0AE0"/>
    <w:rsid w:val="00402FE7"/>
    <w:rsid w:val="00431390"/>
    <w:rsid w:val="00441446"/>
    <w:rsid w:val="0048241A"/>
    <w:rsid w:val="004E2E2C"/>
    <w:rsid w:val="004E550A"/>
    <w:rsid w:val="004F5053"/>
    <w:rsid w:val="00507539"/>
    <w:rsid w:val="00514684"/>
    <w:rsid w:val="0052446C"/>
    <w:rsid w:val="00525203"/>
    <w:rsid w:val="00537845"/>
    <w:rsid w:val="00576C68"/>
    <w:rsid w:val="005A1D48"/>
    <w:rsid w:val="005D3559"/>
    <w:rsid w:val="005F021C"/>
    <w:rsid w:val="006110E4"/>
    <w:rsid w:val="00616563"/>
    <w:rsid w:val="00637C13"/>
    <w:rsid w:val="00651761"/>
    <w:rsid w:val="006661CD"/>
    <w:rsid w:val="00677586"/>
    <w:rsid w:val="00680BD4"/>
    <w:rsid w:val="00686C11"/>
    <w:rsid w:val="006B3284"/>
    <w:rsid w:val="006C096B"/>
    <w:rsid w:val="00705EAD"/>
    <w:rsid w:val="00721625"/>
    <w:rsid w:val="00782244"/>
    <w:rsid w:val="007942D2"/>
    <w:rsid w:val="007B3E2A"/>
    <w:rsid w:val="007E30C2"/>
    <w:rsid w:val="0083504C"/>
    <w:rsid w:val="0083581E"/>
    <w:rsid w:val="008666B3"/>
    <w:rsid w:val="008A0BF3"/>
    <w:rsid w:val="008D7366"/>
    <w:rsid w:val="008F20BD"/>
    <w:rsid w:val="00900515"/>
    <w:rsid w:val="00906B68"/>
    <w:rsid w:val="00953AF8"/>
    <w:rsid w:val="0096759E"/>
    <w:rsid w:val="009902CA"/>
    <w:rsid w:val="009D1E81"/>
    <w:rsid w:val="009F17C7"/>
    <w:rsid w:val="00A01349"/>
    <w:rsid w:val="00A12C29"/>
    <w:rsid w:val="00A56E8C"/>
    <w:rsid w:val="00A57502"/>
    <w:rsid w:val="00A854E4"/>
    <w:rsid w:val="00AB4082"/>
    <w:rsid w:val="00AD47BE"/>
    <w:rsid w:val="00AE1A6E"/>
    <w:rsid w:val="00B34BBE"/>
    <w:rsid w:val="00B46D26"/>
    <w:rsid w:val="00B63043"/>
    <w:rsid w:val="00B659D6"/>
    <w:rsid w:val="00B87DA4"/>
    <w:rsid w:val="00BC36CD"/>
    <w:rsid w:val="00BE1C15"/>
    <w:rsid w:val="00BE1EB3"/>
    <w:rsid w:val="00BF7B34"/>
    <w:rsid w:val="00C113B4"/>
    <w:rsid w:val="00C44FC9"/>
    <w:rsid w:val="00CD003B"/>
    <w:rsid w:val="00D81186"/>
    <w:rsid w:val="00D97546"/>
    <w:rsid w:val="00DA5A7D"/>
    <w:rsid w:val="00DE7592"/>
    <w:rsid w:val="00E11F22"/>
    <w:rsid w:val="00E245C9"/>
    <w:rsid w:val="00E54E81"/>
    <w:rsid w:val="00E5776C"/>
    <w:rsid w:val="00E74255"/>
    <w:rsid w:val="00E82EBF"/>
    <w:rsid w:val="00E91018"/>
    <w:rsid w:val="00F109A2"/>
    <w:rsid w:val="00F13D61"/>
    <w:rsid w:val="00F1689E"/>
    <w:rsid w:val="00F362B3"/>
    <w:rsid w:val="00F766FD"/>
    <w:rsid w:val="00F77935"/>
    <w:rsid w:val="00FD2953"/>
    <w:rsid w:val="00FD7445"/>
    <w:rsid w:val="00FE20E0"/>
    <w:rsid w:val="00FE2A91"/>
    <w:rsid w:val="00FF6644"/>
    <w:rsid w:val="046B4AA3"/>
    <w:rsid w:val="04CD7FA9"/>
    <w:rsid w:val="07075397"/>
    <w:rsid w:val="090B3EC9"/>
    <w:rsid w:val="100D7DF3"/>
    <w:rsid w:val="12C40104"/>
    <w:rsid w:val="1A814AED"/>
    <w:rsid w:val="1BC942F5"/>
    <w:rsid w:val="25947D35"/>
    <w:rsid w:val="2DE3404B"/>
    <w:rsid w:val="49180694"/>
    <w:rsid w:val="4B7D7494"/>
    <w:rsid w:val="4BA9636A"/>
    <w:rsid w:val="676F286E"/>
    <w:rsid w:val="74BD01BD"/>
    <w:rsid w:val="7C9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18F94A"/>
  <w15:docId w15:val="{DE4E9152-4D5B-4930-BD40-660B405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7">
    <w:name w:val="页眉 字符"/>
    <w:link w:val="a6"/>
    <w:uiPriority w:val="99"/>
    <w:qFormat/>
    <w:rPr>
      <w:sz w:val="18"/>
      <w:szCs w:val="18"/>
    </w:rPr>
  </w:style>
  <w:style w:type="character" w:customStyle="1" w:styleId="a5">
    <w:name w:val="页脚 字符"/>
    <w:link w:val="a4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14:ligatures w14:val="standardContextual"/>
    </w:rPr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337</Words>
  <Characters>1811</Characters>
  <Application>Microsoft Office Word</Application>
  <DocSecurity>0</DocSecurity>
  <Lines>38</Lines>
  <Paragraphs>32</Paragraphs>
  <ScaleCrop>false</ScaleCrop>
  <Company>MOREWING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旭东 唐</cp:lastModifiedBy>
  <cp:revision>40</cp:revision>
  <dcterms:created xsi:type="dcterms:W3CDTF">2024-09-02T15:05:00Z</dcterms:created>
  <dcterms:modified xsi:type="dcterms:W3CDTF">2025-09-21T08:41:00Z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ICV">
    <vt:lpwstr>B335027E1B2A4D228FDDF5AF1C2FA4FE_13</vt:lpwstr>
  </property>
  <property fmtid="{D5CDD505-2E9C-101B-9397-08002B2CF9AE}" pid="5" name="KSOTemplateDocerSaveRecord">
    <vt:lpwstr>eyJoZGlkIjoiYmI1ZmM3NGEyNTU3MWJiNDkxZjI2ZTcxZmE3YWYxYTkiLCJ1c2VySWQiOiI1OTYxODI2ODQifQ==</vt:lpwstr>
  </property>
</Properties>
</file>