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B3D92" w14:textId="77777777" w:rsidR="00E62CD8" w:rsidRDefault="00EA5C8E">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 xml:space="preserve">Cell </w:t>
      </w:r>
      <w:r>
        <w:rPr>
          <w:rFonts w:ascii="Times New Roman" w:hAnsi="Times New Roman" w:cs="Times New Roman" w:hint="eastAsia"/>
        </w:rPr>
        <w:t>p</w:t>
      </w:r>
      <w:r>
        <w:rPr>
          <w:rFonts w:ascii="Times New Roman" w:hAnsi="Times New Roman" w:cs="Times New Roman"/>
        </w:rPr>
        <w:t xml:space="preserve">roliferation </w:t>
      </w:r>
      <w:r>
        <w:rPr>
          <w:rFonts w:ascii="Times New Roman" w:hAnsi="Times New Roman" w:cs="Times New Roman" w:hint="eastAsia"/>
        </w:rPr>
        <w:t>a</w:t>
      </w:r>
      <w:r>
        <w:rPr>
          <w:rFonts w:ascii="Times New Roman" w:hAnsi="Times New Roman" w:cs="Times New Roman"/>
        </w:rPr>
        <w:t xml:space="preserve">ssessment by </w:t>
      </w:r>
      <w:r>
        <w:rPr>
          <w:rFonts w:ascii="Times New Roman" w:hAnsi="Times New Roman" w:cs="Times New Roman" w:hint="eastAsia"/>
        </w:rPr>
        <w:t>c</w:t>
      </w:r>
      <w:r>
        <w:rPr>
          <w:rFonts w:ascii="Times New Roman" w:hAnsi="Times New Roman" w:cs="Times New Roman"/>
        </w:rPr>
        <w:t xml:space="preserve">ell </w:t>
      </w:r>
      <w:r>
        <w:rPr>
          <w:rFonts w:ascii="Times New Roman" w:hAnsi="Times New Roman" w:cs="Times New Roman" w:hint="eastAsia"/>
        </w:rPr>
        <w:t>c</w:t>
      </w:r>
      <w:r>
        <w:rPr>
          <w:rFonts w:ascii="Times New Roman" w:hAnsi="Times New Roman" w:cs="Times New Roman"/>
        </w:rPr>
        <w:t xml:space="preserve">ounting </w:t>
      </w:r>
      <w:r>
        <w:rPr>
          <w:rFonts w:ascii="Times New Roman" w:hAnsi="Times New Roman" w:cs="Times New Roman" w:hint="eastAsia"/>
        </w:rPr>
        <w:t>m</w:t>
      </w:r>
      <w:r>
        <w:rPr>
          <w:rFonts w:ascii="Times New Roman" w:hAnsi="Times New Roman" w:cs="Times New Roman"/>
        </w:rPr>
        <w:t>ethod under acidic condition</w:t>
      </w:r>
    </w:p>
    <w:p w14:paraId="0BA60E4B" w14:textId="77777777" w:rsidR="00E62CD8" w:rsidRDefault="00EA5C8E">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bookmarkStart w:id="0" w:name="OLE_LINK8"/>
      <w:bookmarkStart w:id="1" w:name="OLE_LINK9"/>
      <w:r>
        <w:rPr>
          <w:rFonts w:ascii="Times New Roman" w:hAnsi="Times New Roman" w:cs="Times New Roman"/>
        </w:rPr>
        <w:t>202</w:t>
      </w:r>
      <w:r>
        <w:rPr>
          <w:rFonts w:ascii="Times New Roman" w:hAnsi="Times New Roman" w:cs="Times New Roman" w:hint="eastAsia"/>
        </w:rPr>
        <w:t>5</w:t>
      </w:r>
      <w:r>
        <w:rPr>
          <w:rFonts w:ascii="Times New Roman" w:hAnsi="Times New Roman" w:cs="Times New Roman"/>
        </w:rPr>
        <w:t>.</w:t>
      </w:r>
      <w:r w:rsidR="00724586">
        <w:rPr>
          <w:rFonts w:ascii="Times New Roman" w:hAnsi="Times New Roman" w:cs="Times New Roman" w:hint="eastAsia"/>
        </w:rPr>
        <w:t>0</w:t>
      </w:r>
      <w:r w:rsidR="00724586">
        <w:rPr>
          <w:rFonts w:ascii="Times New Roman" w:hAnsi="Times New Roman" w:cs="Times New Roman"/>
        </w:rPr>
        <w:t>7</w:t>
      </w:r>
      <w:r>
        <w:rPr>
          <w:rFonts w:ascii="Times New Roman" w:hAnsi="Times New Roman" w:cs="Times New Roman"/>
        </w:rPr>
        <w:t>.</w:t>
      </w:r>
      <w:r>
        <w:rPr>
          <w:rFonts w:ascii="Times New Roman" w:hAnsi="Times New Roman" w:cs="Times New Roman" w:hint="eastAsia"/>
        </w:rPr>
        <w:t>10</w:t>
      </w:r>
      <w:r>
        <w:rPr>
          <w:rFonts w:ascii="Times New Roman" w:hAnsi="Times New Roman" w:cs="Times New Roman"/>
        </w:rPr>
        <w:t>-202</w:t>
      </w:r>
      <w:r>
        <w:rPr>
          <w:rFonts w:ascii="Times New Roman" w:hAnsi="Times New Roman" w:cs="Times New Roman" w:hint="eastAsia"/>
        </w:rPr>
        <w:t>5</w:t>
      </w:r>
      <w:r>
        <w:rPr>
          <w:rFonts w:ascii="Times New Roman" w:hAnsi="Times New Roman" w:cs="Times New Roman"/>
        </w:rPr>
        <w:t>.</w:t>
      </w:r>
      <w:r w:rsidR="00724586">
        <w:rPr>
          <w:rFonts w:ascii="Times New Roman" w:hAnsi="Times New Roman" w:cs="Times New Roman" w:hint="eastAsia"/>
        </w:rPr>
        <w:t>0</w:t>
      </w:r>
      <w:r w:rsidR="00724586">
        <w:rPr>
          <w:rFonts w:ascii="Times New Roman" w:hAnsi="Times New Roman" w:cs="Times New Roman"/>
        </w:rPr>
        <w:t>7</w:t>
      </w:r>
      <w:r>
        <w:rPr>
          <w:rFonts w:ascii="Times New Roman" w:hAnsi="Times New Roman" w:cs="Times New Roman"/>
        </w:rPr>
        <w:t>.</w:t>
      </w:r>
      <w:r>
        <w:rPr>
          <w:rFonts w:ascii="Times New Roman" w:hAnsi="Times New Roman" w:cs="Times New Roman" w:hint="eastAsia"/>
        </w:rPr>
        <w:t>29</w:t>
      </w:r>
      <w:bookmarkEnd w:id="0"/>
      <w:bookmarkEnd w:id="1"/>
    </w:p>
    <w:p w14:paraId="7C7EF749" w14:textId="77777777" w:rsidR="00E62CD8" w:rsidRDefault="00EA5C8E">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Member:</w:t>
      </w:r>
      <w:r>
        <w:rPr>
          <w:rFonts w:ascii="Times New Roman" w:hAnsi="Times New Roman" w:cs="Times New Roman"/>
          <w:sz w:val="24"/>
          <w:szCs w:val="28"/>
        </w:rPr>
        <w:t xml:space="preserve"> </w:t>
      </w:r>
      <w:r>
        <w:rPr>
          <w:rFonts w:ascii="Times New Roman" w:hAnsi="Times New Roman" w:cs="Times New Roman"/>
        </w:rPr>
        <w:t>Xudong Tang, Yang Jin, Binxuan Zhang, Kaiqing Zhang, Xuantong Liu</w:t>
      </w:r>
    </w:p>
    <w:p w14:paraId="2DE19385" w14:textId="77777777" w:rsidR="00E62CD8" w:rsidRDefault="00EA5C8E">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 xml:space="preserve">Materials: </w:t>
      </w:r>
      <w:r>
        <w:rPr>
          <w:rFonts w:ascii="Times New Roman" w:hAnsi="Times New Roman" w:cs="Times New Roman"/>
        </w:rPr>
        <w:t>Cell culture flasks, automated cell counter, pipettes and pipette tips, cell culture medium, incubator, centrifuge, cell culture dishes, sterile tubes or containers, growth curve plotting software, IL-2 , lactic acid</w:t>
      </w:r>
    </w:p>
    <w:p w14:paraId="41E533A7" w14:textId="77777777" w:rsidR="00E62CD8" w:rsidRDefault="00EA5C8E">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p>
    <w:p w14:paraId="10FB5B72" w14:textId="77777777" w:rsidR="00E62CD8" w:rsidRDefault="00EA5C8E">
      <w:pPr>
        <w:pStyle w:val="af1"/>
        <w:numPr>
          <w:ilvl w:val="0"/>
          <w:numId w:val="2"/>
        </w:numPr>
        <w:ind w:firstLineChars="0"/>
        <w:rPr>
          <w:rFonts w:ascii="Times New Roman" w:hAnsi="Times New Roman"/>
        </w:rPr>
      </w:pPr>
      <w:r>
        <w:rPr>
          <w:rFonts w:ascii="Times New Roman" w:hAnsi="Times New Roman" w:hint="eastAsia"/>
        </w:rPr>
        <w:t>Experimental Group Design</w:t>
      </w:r>
    </w:p>
    <w:p w14:paraId="15EFECB9" w14:textId="77777777" w:rsidR="00E62CD8" w:rsidRDefault="00EA5C8E">
      <w:pPr>
        <w:pStyle w:val="af1"/>
        <w:ind w:left="440" w:firstLineChars="0" w:firstLine="0"/>
        <w:rPr>
          <w:rFonts w:ascii="Times New Roman" w:eastAsia="等线" w:hAnsi="Times New Roman"/>
          <w:bCs/>
          <w:highlight w:val="yellow"/>
        </w:rPr>
      </w:pPr>
      <w:r>
        <w:rPr>
          <w:rFonts w:ascii="Times New Roman" w:eastAsia="等线" w:hAnsi="Times New Roman"/>
          <w:bCs/>
        </w:rPr>
        <w:t>From the sequence analysis of the single-cell sorting and planting survival experiment under acidic conditions, we obtained the top three sequences: B51G35R-G, B34G35R-G, and B51G9-G. Using their former design (B51G35R, B34G35R, and B51G9) and IL-2 as control groups. To test the proliferation of NK cells and T cells under acidic condition (15 mM lactic acid, adjusting pH to 6.4), and to show the differences between acidic environment (pH 6.4) and non-acidic environment (pH 7.4), t</w:t>
      </w:r>
      <w:r>
        <w:rPr>
          <w:rFonts w:ascii="Times New Roman" w:eastAsia="等线" w:hAnsi="Times New Roman" w:hint="eastAsia"/>
          <w:bCs/>
        </w:rPr>
        <w:t xml:space="preserve">he cells </w:t>
      </w:r>
      <w:r>
        <w:rPr>
          <w:rFonts w:ascii="Times New Roman" w:eastAsia="等线" w:hAnsi="Times New Roman"/>
          <w:bCs/>
        </w:rPr>
        <w:t xml:space="preserve">then were </w:t>
      </w:r>
      <w:r>
        <w:rPr>
          <w:rFonts w:ascii="Times New Roman" w:eastAsia="等线" w:hAnsi="Times New Roman" w:hint="eastAsia"/>
          <w:bCs/>
        </w:rPr>
        <w:t>cultured in four different conditions</w:t>
      </w:r>
      <w:r>
        <w:rPr>
          <w:rFonts w:ascii="Times New Roman" w:eastAsia="等线" w:hAnsi="Times New Roman"/>
          <w:bCs/>
        </w:rPr>
        <w:t xml:space="preserve"> as follows: NK cells under non-</w:t>
      </w:r>
      <w:r>
        <w:rPr>
          <w:rFonts w:ascii="Times New Roman" w:eastAsia="等线" w:hAnsi="Times New Roman" w:hint="eastAsia"/>
          <w:bCs/>
        </w:rPr>
        <w:t>acidic</w:t>
      </w:r>
      <w:r>
        <w:rPr>
          <w:rFonts w:ascii="Times New Roman" w:eastAsia="等线" w:hAnsi="Times New Roman"/>
          <w:bCs/>
        </w:rPr>
        <w:t xml:space="preserve"> condition, </w:t>
      </w:r>
      <w:bookmarkStart w:id="2" w:name="OLE_LINK3"/>
      <w:r>
        <w:rPr>
          <w:rFonts w:ascii="Times New Roman" w:eastAsia="等线" w:hAnsi="Times New Roman"/>
          <w:bCs/>
        </w:rPr>
        <w:t>T cells under non-</w:t>
      </w:r>
      <w:r>
        <w:rPr>
          <w:rFonts w:ascii="Times New Roman" w:eastAsia="等线" w:hAnsi="Times New Roman" w:hint="eastAsia"/>
          <w:bCs/>
        </w:rPr>
        <w:t>acidic</w:t>
      </w:r>
      <w:r>
        <w:rPr>
          <w:rFonts w:ascii="Times New Roman" w:eastAsia="等线" w:hAnsi="Times New Roman"/>
          <w:bCs/>
        </w:rPr>
        <w:t xml:space="preserve"> condition</w:t>
      </w:r>
      <w:bookmarkEnd w:id="2"/>
      <w:r>
        <w:rPr>
          <w:rFonts w:ascii="Times New Roman" w:eastAsia="等线" w:hAnsi="Times New Roman"/>
          <w:bCs/>
        </w:rPr>
        <w:t xml:space="preserve">, NK cells under </w:t>
      </w:r>
      <w:r>
        <w:rPr>
          <w:rFonts w:ascii="Times New Roman" w:eastAsia="等线" w:hAnsi="Times New Roman" w:hint="eastAsia"/>
          <w:bCs/>
        </w:rPr>
        <w:t>acidic</w:t>
      </w:r>
      <w:r>
        <w:rPr>
          <w:rFonts w:ascii="Times New Roman" w:eastAsia="等线" w:hAnsi="Times New Roman"/>
          <w:bCs/>
        </w:rPr>
        <w:t xml:space="preserve"> condition, T cells under </w:t>
      </w:r>
      <w:r>
        <w:rPr>
          <w:rFonts w:ascii="Times New Roman" w:eastAsia="等线" w:hAnsi="Times New Roman" w:hint="eastAsia"/>
          <w:bCs/>
        </w:rPr>
        <w:t>acidic</w:t>
      </w:r>
      <w:r>
        <w:rPr>
          <w:rFonts w:ascii="Times New Roman" w:eastAsia="等线" w:hAnsi="Times New Roman"/>
          <w:bCs/>
        </w:rPr>
        <w:t xml:space="preserve"> condition, and each of the sequences was tested independently under these conditions. Each groups then monitored the amplified curve for 7 days.</w:t>
      </w:r>
    </w:p>
    <w:p w14:paraId="3059338C" w14:textId="77777777" w:rsidR="00E62CD8" w:rsidRDefault="00EA5C8E">
      <w:pPr>
        <w:pStyle w:val="af1"/>
        <w:numPr>
          <w:ilvl w:val="0"/>
          <w:numId w:val="2"/>
        </w:numPr>
        <w:ind w:firstLineChars="0"/>
        <w:rPr>
          <w:rFonts w:ascii="Times New Roman" w:hAnsi="Times New Roman"/>
        </w:rPr>
      </w:pPr>
      <w:r>
        <w:rPr>
          <w:rFonts w:ascii="Times New Roman" w:hAnsi="Times New Roman" w:hint="eastAsia"/>
        </w:rPr>
        <w:t>Cell Counting</w:t>
      </w:r>
    </w:p>
    <w:p w14:paraId="691B607E" w14:textId="77777777" w:rsidR="00E62CD8" w:rsidRDefault="00EA5C8E">
      <w:pPr>
        <w:numPr>
          <w:ilvl w:val="0"/>
          <w:numId w:val="3"/>
        </w:numPr>
        <w:ind w:left="1140" w:hanging="360"/>
        <w:rPr>
          <w:rFonts w:ascii="Times New Roman" w:hAnsi="Times New Roman"/>
          <w:szCs w:val="24"/>
        </w:rPr>
      </w:pPr>
      <w:r>
        <w:rPr>
          <w:rFonts w:ascii="Times New Roman" w:hAnsi="Times New Roman" w:hint="eastAsia"/>
          <w:szCs w:val="24"/>
        </w:rPr>
        <w:t xml:space="preserve">Sample Collection: Place all culture flasks in cell incubator set at 37 </w:t>
      </w:r>
      <w:r w:rsidRPr="00E20993">
        <w:rPr>
          <w:rFonts w:ascii="Times New Roman" w:hAnsi="Times New Roman"/>
          <w:szCs w:val="24"/>
        </w:rPr>
        <w:t>℃</w:t>
      </w:r>
      <w:r>
        <w:rPr>
          <w:rFonts w:ascii="Times New Roman" w:hAnsi="Times New Roman" w:hint="eastAsia"/>
          <w:szCs w:val="24"/>
        </w:rPr>
        <w:t>,</w:t>
      </w:r>
      <w:r w:rsidR="00E20993">
        <w:rPr>
          <w:rFonts w:ascii="Times New Roman" w:hAnsi="Times New Roman"/>
          <w:szCs w:val="24"/>
        </w:rPr>
        <w:t xml:space="preserve"> </w:t>
      </w:r>
      <w:r>
        <w:rPr>
          <w:rFonts w:ascii="Times New Roman" w:hAnsi="Times New Roman" w:hint="eastAsia"/>
          <w:szCs w:val="24"/>
        </w:rPr>
        <w:t>5% CO</w:t>
      </w:r>
      <w:r w:rsidRPr="00E20993">
        <w:rPr>
          <w:rFonts w:ascii="Times New Roman" w:hAnsi="Times New Roman" w:hint="eastAsia"/>
          <w:szCs w:val="24"/>
          <w:vertAlign w:val="subscript"/>
        </w:rPr>
        <w:t>2</w:t>
      </w:r>
      <w:r>
        <w:rPr>
          <w:rFonts w:ascii="Times New Roman" w:hAnsi="Times New Roman" w:hint="eastAsia"/>
          <w:szCs w:val="24"/>
        </w:rPr>
        <w:t>. At predefined days of cell culture (Day 1-Day 7), cell samples were collected from each culture flask, and resuspended thoroughly.</w:t>
      </w:r>
    </w:p>
    <w:p w14:paraId="5A51AB6C" w14:textId="77777777" w:rsidR="00E62CD8" w:rsidRDefault="00EA5C8E">
      <w:pPr>
        <w:numPr>
          <w:ilvl w:val="0"/>
          <w:numId w:val="3"/>
        </w:numPr>
        <w:ind w:left="1140" w:hanging="360"/>
        <w:rPr>
          <w:rFonts w:ascii="Times New Roman" w:hAnsi="Times New Roman"/>
          <w:szCs w:val="24"/>
        </w:rPr>
      </w:pPr>
      <w:r>
        <w:rPr>
          <w:rFonts w:ascii="Times New Roman" w:hAnsi="Times New Roman" w:hint="eastAsia"/>
          <w:szCs w:val="24"/>
        </w:rPr>
        <w:t>Cell Counting: An aliquot of each cell sample was taken, and cells were counted using an automated cell counter. Recorded the cell numbers, the total cell number was recorded for each time point.</w:t>
      </w:r>
    </w:p>
    <w:p w14:paraId="0A2A2C6C" w14:textId="77777777" w:rsidR="00E62CD8" w:rsidRDefault="00EA5C8E">
      <w:pPr>
        <w:numPr>
          <w:ilvl w:val="0"/>
          <w:numId w:val="3"/>
        </w:numPr>
        <w:ind w:left="1140" w:hanging="360"/>
        <w:rPr>
          <w:rFonts w:ascii="Times New Roman" w:hAnsi="Times New Roman"/>
          <w:szCs w:val="24"/>
        </w:rPr>
      </w:pPr>
      <w:r>
        <w:rPr>
          <w:rFonts w:ascii="Times New Roman" w:hAnsi="Times New Roman" w:hint="eastAsia"/>
          <w:szCs w:val="24"/>
        </w:rPr>
        <w:t>Calculation of Fold Expansion: The fold expansion of cells was calculated by comparing the cell numbers at different time points to the initial cell count (Day 0). The fold increase was determined using the formula: Fold Expansion =</w:t>
      </w:r>
      <w:r w:rsidR="00E20993">
        <w:rPr>
          <w:rFonts w:ascii="Times New Roman" w:hAnsi="Times New Roman"/>
          <w:szCs w:val="24"/>
        </w:rPr>
        <w:t xml:space="preserve"> </w:t>
      </w:r>
      <w:r>
        <w:rPr>
          <w:rFonts w:ascii="Times New Roman" w:hAnsi="Times New Roman" w:hint="eastAsia"/>
          <w:szCs w:val="24"/>
        </w:rPr>
        <w:t>Cell Number at Time point t/Initial Cell Number (Day 0)</w:t>
      </w:r>
    </w:p>
    <w:p w14:paraId="0EF6EB14" w14:textId="77777777" w:rsidR="00E62CD8" w:rsidRDefault="00EA5C8E">
      <w:pPr>
        <w:numPr>
          <w:ilvl w:val="0"/>
          <w:numId w:val="3"/>
        </w:numPr>
        <w:ind w:left="1140" w:hanging="360"/>
        <w:rPr>
          <w:rFonts w:ascii="Times New Roman" w:hAnsi="Times New Roman"/>
          <w:szCs w:val="24"/>
        </w:rPr>
      </w:pPr>
      <w:r>
        <w:rPr>
          <w:rFonts w:ascii="Times New Roman" w:hAnsi="Times New Roman" w:hint="eastAsia"/>
          <w:szCs w:val="24"/>
        </w:rPr>
        <w:t>Plotting the Growth Curve: Using graphing software, a cell growth curve was generated by plotting the fold expansion (y-axis) against the days of culture (x-axis). This curve was used to analyze the proliferation rate and growth kinetics of the cultured cells over time.</w:t>
      </w:r>
    </w:p>
    <w:p w14:paraId="31A50874" w14:textId="77777777" w:rsidR="00E62CD8" w:rsidRDefault="00EA5C8E">
      <w:pPr>
        <w:pStyle w:val="af1"/>
        <w:numPr>
          <w:ilvl w:val="0"/>
          <w:numId w:val="1"/>
        </w:numPr>
        <w:ind w:firstLineChars="0"/>
        <w:rPr>
          <w:rFonts w:ascii="Times New Roman" w:hAnsi="Times New Roman"/>
          <w:b/>
          <w:bCs/>
        </w:rPr>
      </w:pPr>
      <w:r>
        <w:rPr>
          <w:rFonts w:ascii="Times New Roman" w:hAnsi="Times New Roman" w:cs="Times New Roman"/>
          <w:b/>
          <w:bCs/>
          <w:sz w:val="24"/>
          <w:szCs w:val="28"/>
        </w:rPr>
        <w:t>Result:</w:t>
      </w:r>
    </w:p>
    <w:p w14:paraId="234207BC" w14:textId="2AFADD3F" w:rsidR="00E62CD8" w:rsidRDefault="00A54278">
      <w:pPr>
        <w:pStyle w:val="af1"/>
        <w:ind w:left="360" w:firstLineChars="0" w:firstLine="0"/>
        <w:rPr>
          <w:rFonts w:ascii="Times New Roman" w:hAnsi="Times New Roman"/>
          <w:b/>
          <w:bCs/>
        </w:rPr>
      </w:pPr>
      <w:r>
        <w:rPr>
          <w:rFonts w:ascii="Times New Roman" w:hAnsi="Times New Roman"/>
          <w:b/>
          <w:bCs/>
          <w:noProof/>
          <w14:ligatures w14:val="none"/>
        </w:rPr>
        <w:drawing>
          <wp:inline distT="0" distB="0" distL="0" distR="0" wp14:anchorId="75068DA7" wp14:editId="72A264B1">
            <wp:extent cx="6120130" cy="1608455"/>
            <wp:effectExtent l="0" t="0" r="0" b="0"/>
            <wp:docPr id="168996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6163" name="图片 168996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464C74FB" w14:textId="65FC2BB7" w:rsidR="00A54278" w:rsidRDefault="00A54278">
      <w:pPr>
        <w:pStyle w:val="af1"/>
        <w:ind w:left="360" w:firstLineChars="0" w:firstLine="0"/>
        <w:rPr>
          <w:rFonts w:ascii="Times New Roman" w:hAnsi="Times New Roman" w:hint="eastAsia"/>
          <w:b/>
          <w:bCs/>
        </w:rPr>
      </w:pPr>
      <w:r>
        <w:rPr>
          <w:rFonts w:ascii="Times New Roman" w:hAnsi="Times New Roman" w:hint="eastAsia"/>
          <w:b/>
          <w:bCs/>
        </w:rPr>
        <w:t xml:space="preserve">Figure.1 </w:t>
      </w:r>
      <w:r w:rsidRPr="005B2C4D">
        <w:rPr>
          <w:rFonts w:ascii="Times New Roman" w:hAnsi="Times New Roman" w:cs="Times New Roman"/>
        </w:rPr>
        <w:t>Expansion fold of N</w:t>
      </w:r>
      <w:r>
        <w:rPr>
          <w:rFonts w:ascii="Times New Roman" w:hAnsi="Times New Roman" w:cs="Times New Roman" w:hint="eastAsia"/>
        </w:rPr>
        <w:t>K cells</w:t>
      </w:r>
      <w:r w:rsidRPr="005B2C4D">
        <w:rPr>
          <w:rFonts w:ascii="Times New Roman" w:hAnsi="Times New Roman" w:cs="Times New Roman"/>
        </w:rPr>
        <w:t xml:space="preserve"> and </w:t>
      </w:r>
      <w:r>
        <w:rPr>
          <w:rFonts w:ascii="Times New Roman" w:hAnsi="Times New Roman" w:cs="Times New Roman" w:hint="eastAsia"/>
        </w:rPr>
        <w:t>T cells (</w:t>
      </w:r>
      <w:proofErr w:type="spellStart"/>
      <w:r w:rsidRPr="005B2C4D">
        <w:rPr>
          <w:rFonts w:ascii="Times New Roman" w:hAnsi="Times New Roman" w:cs="Times New Roman"/>
        </w:rPr>
        <w:t>Jurkat</w:t>
      </w:r>
      <w:proofErr w:type="spellEnd"/>
      <w:r w:rsidRPr="005B2C4D">
        <w:rPr>
          <w:rFonts w:ascii="Times New Roman" w:hAnsi="Times New Roman" w:cs="Times New Roman"/>
        </w:rPr>
        <w:t xml:space="preserve"> cells</w:t>
      </w:r>
      <w:r>
        <w:rPr>
          <w:rFonts w:ascii="Times New Roman" w:hAnsi="Times New Roman" w:cs="Times New Roman" w:hint="eastAsia"/>
        </w:rPr>
        <w:t>)</w:t>
      </w:r>
      <w:r w:rsidRPr="005B2C4D">
        <w:rPr>
          <w:rFonts w:ascii="Times New Roman" w:hAnsi="Times New Roman" w:cs="Times New Roman"/>
        </w:rPr>
        <w:t xml:space="preserve"> at pH=7.4 and pH=6.4 over days post seeding for different constructs (B51G35R-G, B34G35R-G, B51G9-G, B51G35R, B34G35R, B51G9, IL-2)</w:t>
      </w:r>
      <w:r w:rsidRPr="00005DDB">
        <w:rPr>
          <w:rFonts w:ascii="Times New Roman" w:hAnsi="Times New Roman" w:cs="Times New Roman" w:hint="eastAsia"/>
        </w:rPr>
        <w:t>. Data are presented as mean</w:t>
      </w:r>
      <w:r w:rsidRPr="00A454C2">
        <w:rPr>
          <w:rFonts w:ascii="Times New Roman" w:hAnsi="Times New Roman" w:cs="Times New Roman"/>
        </w:rPr>
        <w:t xml:space="preserve"> ± </w:t>
      </w:r>
      <w:r w:rsidRPr="00005DDB">
        <w:rPr>
          <w:rFonts w:ascii="Times New Roman" w:hAnsi="Times New Roman" w:cs="Times New Roman" w:hint="eastAsia"/>
        </w:rPr>
        <w:t xml:space="preserve">SD of </w:t>
      </w:r>
      <w:r>
        <w:rPr>
          <w:rFonts w:ascii="Times New Roman" w:hAnsi="Times New Roman" w:cs="Times New Roman" w:hint="eastAsia"/>
        </w:rPr>
        <w:t>three</w:t>
      </w:r>
      <w:r w:rsidRPr="00005DDB">
        <w:rPr>
          <w:rFonts w:ascii="Times New Roman" w:hAnsi="Times New Roman" w:cs="Times New Roman" w:hint="eastAsia"/>
        </w:rPr>
        <w:t xml:space="preserve"> independent biological replicates.</w:t>
      </w:r>
    </w:p>
    <w:sectPr w:rsidR="00A54278">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B3528" w14:textId="77777777" w:rsidR="00ED46F3" w:rsidRDefault="00ED46F3">
      <w:r>
        <w:separator/>
      </w:r>
    </w:p>
  </w:endnote>
  <w:endnote w:type="continuationSeparator" w:id="0">
    <w:p w14:paraId="1842F3AB" w14:textId="77777777" w:rsidR="00ED46F3" w:rsidRDefault="00ED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33345" w14:textId="77777777" w:rsidR="00ED46F3" w:rsidRDefault="00ED46F3">
      <w:r>
        <w:separator/>
      </w:r>
    </w:p>
  </w:footnote>
  <w:footnote w:type="continuationSeparator" w:id="0">
    <w:p w14:paraId="2F12CFA9" w14:textId="77777777" w:rsidR="00ED46F3" w:rsidRDefault="00ED4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53A8C" w14:textId="394E49A5" w:rsidR="00E62CD8" w:rsidRDefault="00EA5C8E">
    <w:pPr>
      <w:pStyle w:val="a9"/>
      <w:spacing w:line="360" w:lineRule="auto"/>
      <w:jc w:val="left"/>
      <w:rPr>
        <w:rFonts w:ascii="Times New Roman" w:hAnsi="Times New Roman"/>
        <w:b/>
        <w:sz w:val="32"/>
        <w:szCs w:val="32"/>
      </w:rPr>
    </w:pPr>
    <w:proofErr w:type="spellStart"/>
    <w:r>
      <w:rPr>
        <w:rFonts w:ascii="Times New Roman" w:hAnsi="Times New Roman"/>
        <w:b/>
        <w:sz w:val="32"/>
        <w:szCs w:val="32"/>
      </w:rPr>
      <w:t>SynthImmunol_NMU</w:t>
    </w:r>
    <w:proofErr w:type="spellEnd"/>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sidR="001229DE">
      <w:rPr>
        <w:rFonts w:ascii="Times New Roman" w:hAnsi="Times New Roman" w:hint="eastAsia"/>
        <w:b/>
        <w:sz w:val="32"/>
        <w:szCs w:val="32"/>
      </w:rPr>
      <w:t>18</w:t>
    </w:r>
  </w:p>
  <w:p w14:paraId="22B3D6E4" w14:textId="77777777" w:rsidR="00E62CD8" w:rsidRDefault="00EA5C8E">
    <w:pPr>
      <w:pStyle w:val="a9"/>
      <w:spacing w:line="360" w:lineRule="auto"/>
      <w:jc w:val="both"/>
      <w:rPr>
        <w:rFonts w:ascii="Times New Roman" w:hAnsi="Times New Roman"/>
        <w:b/>
        <w:sz w:val="24"/>
        <w:szCs w:val="24"/>
        <w:u w:val="single"/>
      </w:rPr>
    </w:pPr>
    <w:r>
      <w:rPr>
        <w:rFonts w:ascii="Times New Roman" w:hAnsi="Times New Roman"/>
        <w:b/>
        <w:sz w:val="24"/>
        <w:szCs w:val="24"/>
      </w:rPr>
      <w:t xml:space="preserve">Time: </w:t>
    </w:r>
    <w:r w:rsidR="00243F89" w:rsidRPr="00243F89">
      <w:rPr>
        <w:rFonts w:ascii="Times New Roman" w:hAnsi="Times New Roman"/>
        <w:b/>
        <w:sz w:val="24"/>
        <w:szCs w:val="24"/>
      </w:rPr>
      <w:t>2025.07.10-2025.07.29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1"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2"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54933385">
    <w:abstractNumId w:val="2"/>
  </w:num>
  <w:num w:numId="2" w16cid:durableId="926884689">
    <w:abstractNumId w:val="0"/>
  </w:num>
  <w:num w:numId="3" w16cid:durableId="141697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00C59"/>
    <w:rsid w:val="0004762D"/>
    <w:rsid w:val="00066FB4"/>
    <w:rsid w:val="001229DE"/>
    <w:rsid w:val="001313B2"/>
    <w:rsid w:val="001420CA"/>
    <w:rsid w:val="001805D7"/>
    <w:rsid w:val="00185F7F"/>
    <w:rsid w:val="001D2B48"/>
    <w:rsid w:val="0022508A"/>
    <w:rsid w:val="00227BF6"/>
    <w:rsid w:val="00234A5F"/>
    <w:rsid w:val="00243F89"/>
    <w:rsid w:val="002B2F0A"/>
    <w:rsid w:val="002B436B"/>
    <w:rsid w:val="00322B2C"/>
    <w:rsid w:val="00384656"/>
    <w:rsid w:val="003D4E63"/>
    <w:rsid w:val="003F0AE0"/>
    <w:rsid w:val="00402FE7"/>
    <w:rsid w:val="00431390"/>
    <w:rsid w:val="00441446"/>
    <w:rsid w:val="0048241A"/>
    <w:rsid w:val="00482F80"/>
    <w:rsid w:val="004A662B"/>
    <w:rsid w:val="004E550A"/>
    <w:rsid w:val="0052446C"/>
    <w:rsid w:val="00525203"/>
    <w:rsid w:val="00560A93"/>
    <w:rsid w:val="005A1D48"/>
    <w:rsid w:val="005F021C"/>
    <w:rsid w:val="00616563"/>
    <w:rsid w:val="00637C13"/>
    <w:rsid w:val="00651761"/>
    <w:rsid w:val="006661CD"/>
    <w:rsid w:val="00677586"/>
    <w:rsid w:val="00680BD4"/>
    <w:rsid w:val="006A4ED5"/>
    <w:rsid w:val="006B3284"/>
    <w:rsid w:val="006C096B"/>
    <w:rsid w:val="006D2A7C"/>
    <w:rsid w:val="00705EAD"/>
    <w:rsid w:val="00721625"/>
    <w:rsid w:val="00724586"/>
    <w:rsid w:val="00782244"/>
    <w:rsid w:val="007B3E2A"/>
    <w:rsid w:val="007D614D"/>
    <w:rsid w:val="007E3A8A"/>
    <w:rsid w:val="008056D4"/>
    <w:rsid w:val="0083504C"/>
    <w:rsid w:val="0083581E"/>
    <w:rsid w:val="008A0BF3"/>
    <w:rsid w:val="008D7366"/>
    <w:rsid w:val="008F20BD"/>
    <w:rsid w:val="008F3FDF"/>
    <w:rsid w:val="00900515"/>
    <w:rsid w:val="00906B68"/>
    <w:rsid w:val="009902CA"/>
    <w:rsid w:val="009B6FAF"/>
    <w:rsid w:val="009D1E81"/>
    <w:rsid w:val="009F17C7"/>
    <w:rsid w:val="00A12C29"/>
    <w:rsid w:val="00A454C2"/>
    <w:rsid w:val="00A54278"/>
    <w:rsid w:val="00AB4082"/>
    <w:rsid w:val="00AC5A66"/>
    <w:rsid w:val="00AE1931"/>
    <w:rsid w:val="00AF2FB6"/>
    <w:rsid w:val="00B132F1"/>
    <w:rsid w:val="00B34BBE"/>
    <w:rsid w:val="00B46D26"/>
    <w:rsid w:val="00B63043"/>
    <w:rsid w:val="00B87DA4"/>
    <w:rsid w:val="00BA2C21"/>
    <w:rsid w:val="00BC36CD"/>
    <w:rsid w:val="00BE1EB3"/>
    <w:rsid w:val="00BF7B34"/>
    <w:rsid w:val="00C113B4"/>
    <w:rsid w:val="00C34AA0"/>
    <w:rsid w:val="00C44FC9"/>
    <w:rsid w:val="00C94501"/>
    <w:rsid w:val="00CD003B"/>
    <w:rsid w:val="00CF0F59"/>
    <w:rsid w:val="00D96463"/>
    <w:rsid w:val="00D97D27"/>
    <w:rsid w:val="00DA5A7D"/>
    <w:rsid w:val="00DA5D0E"/>
    <w:rsid w:val="00DB7232"/>
    <w:rsid w:val="00DE7592"/>
    <w:rsid w:val="00E108C3"/>
    <w:rsid w:val="00E20993"/>
    <w:rsid w:val="00E54E81"/>
    <w:rsid w:val="00E5776C"/>
    <w:rsid w:val="00E62CD8"/>
    <w:rsid w:val="00E72E55"/>
    <w:rsid w:val="00E82EBF"/>
    <w:rsid w:val="00E91018"/>
    <w:rsid w:val="00E91E7A"/>
    <w:rsid w:val="00EA3E52"/>
    <w:rsid w:val="00EA5C8E"/>
    <w:rsid w:val="00EB6783"/>
    <w:rsid w:val="00ED2A92"/>
    <w:rsid w:val="00ED46F3"/>
    <w:rsid w:val="00F06EB8"/>
    <w:rsid w:val="00F109A2"/>
    <w:rsid w:val="00F1689E"/>
    <w:rsid w:val="00F437DD"/>
    <w:rsid w:val="00F766FD"/>
    <w:rsid w:val="00FD2953"/>
    <w:rsid w:val="00FD7445"/>
    <w:rsid w:val="00FE2A91"/>
    <w:rsid w:val="00FF6644"/>
    <w:rsid w:val="046B4AA3"/>
    <w:rsid w:val="12C40104"/>
    <w:rsid w:val="16062FFB"/>
    <w:rsid w:val="2DE3404B"/>
    <w:rsid w:val="676F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5428FA"/>
  <w15:docId w15:val="{B9971580-99EF-8249-A5CA-BBA40D3A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rPr>
      <w:sz w:val="21"/>
      <w:szCs w:val="21"/>
    </w:rPr>
  </w:style>
  <w:style w:type="character" w:customStyle="1" w:styleId="aa">
    <w:name w:val="页眉 字符"/>
    <w:link w:val="a9"/>
    <w:uiPriority w:val="99"/>
    <w:qFormat/>
    <w:rPr>
      <w:sz w:val="18"/>
      <w:szCs w:val="18"/>
    </w:rPr>
  </w:style>
  <w:style w:type="character" w:customStyle="1" w:styleId="a8">
    <w:name w:val="页脚 字符"/>
    <w:link w:val="a7"/>
    <w:uiPriority w:val="99"/>
    <w:qFormat/>
    <w:rPr>
      <w:sz w:val="18"/>
      <w:szCs w:val="18"/>
    </w:rPr>
  </w:style>
  <w:style w:type="paragraph" w:styleId="af1">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character" w:customStyle="1" w:styleId="katex-mathml">
    <w:name w:val="katex-mathml"/>
    <w:basedOn w:val="a0"/>
    <w:qFormat/>
  </w:style>
  <w:style w:type="character" w:customStyle="1" w:styleId="mord">
    <w:name w:val="mord"/>
    <w:basedOn w:val="a0"/>
  </w:style>
  <w:style w:type="character" w:customStyle="1" w:styleId="mrel">
    <w:name w:val="mrel"/>
    <w:basedOn w:val="a0"/>
    <w:qFormat/>
  </w:style>
  <w:style w:type="character" w:customStyle="1" w:styleId="vlist-s">
    <w:name w:val="vlist-s"/>
    <w:basedOn w:val="a0"/>
    <w:qFormat/>
  </w:style>
  <w:style w:type="character" w:customStyle="1" w:styleId="a4">
    <w:name w:val="批注文字 字符"/>
    <w:basedOn w:val="a0"/>
    <w:link w:val="a3"/>
    <w:uiPriority w:val="99"/>
    <w:semiHidden/>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396</Words>
  <Characters>2149</Characters>
  <Application>Microsoft Office Word</Application>
  <DocSecurity>0</DocSecurity>
  <Lines>31</Lines>
  <Paragraphs>16</Paragraphs>
  <ScaleCrop>false</ScaleCrop>
  <Company>MOREWING</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zkq</dc:creator>
  <cp:lastModifiedBy>旭东 唐</cp:lastModifiedBy>
  <cp:revision>12</cp:revision>
  <dcterms:created xsi:type="dcterms:W3CDTF">2025-09-19T15:25:00Z</dcterms:created>
  <dcterms:modified xsi:type="dcterms:W3CDTF">2025-09-21T08:46:00Z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GrammarlyDocumentId">
    <vt:lpwstr>9d0928c732ae4d05bbb22066c08b4b3d78dac03dc435a5aa31364c5b23b11828</vt:lpwstr>
  </property>
  <property fmtid="{D5CDD505-2E9C-101B-9397-08002B2CF9AE}" pid="4" name="ICV">
    <vt:lpwstr>EBED980B31504F72AC07748BB603515A_13</vt:lpwstr>
  </property>
</Properties>
</file>