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65810">
      <w:pPr>
        <w:pStyle w:val="15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</w:rPr>
        <w:t xml:space="preserve">Flow Cytometric Analysis of NK Cell Activity under acidic condition </w:t>
      </w:r>
    </w:p>
    <w:p w14:paraId="5E8D346E">
      <w:pPr>
        <w:pStyle w:val="15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hint="default" w:ascii="Times New Roman" w:hAnsi="Times New Roman" w:cs="Times New Roman"/>
        </w:rPr>
        <w:t>202</w:t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>9.</w:t>
      </w:r>
      <w:r>
        <w:rPr>
          <w:rFonts w:hint="default" w:ascii="Times New Roman" w:hAnsi="Times New Roman" w:cs="Times New Roman"/>
        </w:rPr>
        <w:t>10</w:t>
      </w:r>
      <w:r>
        <w:rPr>
          <w:rFonts w:hint="default" w:ascii="Times New Roman" w:hAnsi="Times New Roman" w:cs="Times New Roman"/>
        </w:rPr>
        <w:t>-202</w:t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>9.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t>0</w:t>
      </w:r>
    </w:p>
    <w:p w14:paraId="6A2138E6">
      <w:pPr>
        <w:pStyle w:val="15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</w:rPr>
        <w:t>Xudong Tang, Yang Jin, Binxuan Zhang, Kaiqing Zhang, Xuantong Liu</w:t>
      </w:r>
    </w:p>
    <w:p w14:paraId="61521A0C">
      <w:pPr>
        <w:pStyle w:val="15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</w:rPr>
        <w:t>Principle:</w:t>
      </w:r>
      <w:bookmarkStart w:id="6" w:name="_GoBack"/>
      <w:bookmarkEnd w:id="6"/>
    </w:p>
    <w:p w14:paraId="39C41CE8">
      <w:pPr>
        <w:pStyle w:val="15"/>
        <w:ind w:left="360" w:firstLine="0" w:firstLineChars="0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This experiment uses flow cytometry for multi-parameter cell analysis to explore how acidic conditions affect NK cell activity. NK cells are identified via CD56-PEas CD3⁻CD56⁺ populations. CD107serves as an activation marker: surface expression indicates cytotoxicity (CD56⁺CD107a⁺ = active NK cells). Flow cytometry excludes doublets/dead cells, then quantifies the ratio of active NK cells to total NK cells to assess functional impacts.</w:t>
      </w:r>
    </w:p>
    <w:p w14:paraId="3ECA811E">
      <w:pPr>
        <w:pStyle w:val="15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</w:rPr>
        <w:t xml:space="preserve">Materials: </w:t>
      </w:r>
      <w:r>
        <w:rPr>
          <w:rFonts w:hint="default" w:ascii="Times New Roman" w:hAnsi="Times New Roman" w:cs="Times New Roman"/>
        </w:rPr>
        <w:t>Flow cytometer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CD107a-APC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CD56-PE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Ice-cold PBS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Staining buffer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Brefeldin A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4% paraformaldehyde (PFA)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0.1% Triton X-100,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15 mM lactic acid, K562 cell line </w:t>
      </w:r>
    </w:p>
    <w:p w14:paraId="01CA1618">
      <w:pPr>
        <w:pStyle w:val="15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</w:rPr>
        <w:t>Method:</w:t>
      </w:r>
    </w:p>
    <w:p w14:paraId="5427C4D2">
      <w:pPr>
        <w:pStyle w:val="15"/>
        <w:numPr>
          <w:ilvl w:val="0"/>
          <w:numId w:val="2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Cell preparation:</w:t>
      </w:r>
    </w:p>
    <w:p w14:paraId="1D2C27C6">
      <w:pPr>
        <w:pStyle w:val="15"/>
        <w:ind w:left="44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Our mimics (B51G35R-G, B51G35R, B34G35R-G, B34G35R, B51G9-G, B51G9) were previously added and proliferated to NK cells co cultured with K562 cell line,</w:t>
      </w:r>
      <w:bookmarkStart w:id="0" w:name="OLE_LINK3"/>
      <w:bookmarkStart w:id="1" w:name="OLE_LINK4"/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incubated under acidic condition of </w:t>
      </w:r>
      <w:bookmarkStart w:id="2" w:name="OLE_LINK2"/>
      <w:bookmarkStart w:id="3" w:name="OLE_LINK1"/>
      <w:r>
        <w:rPr>
          <w:rFonts w:hint="default" w:ascii="Times New Roman" w:hAnsi="Times New Roman" w:cs="Times New Roman"/>
        </w:rPr>
        <w:t xml:space="preserve">15 mM lactic acid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</w:rPr>
        <w:t>pH 6.4)</w:t>
      </w:r>
      <w:bookmarkEnd w:id="2"/>
      <w:bookmarkEnd w:id="3"/>
      <w:r>
        <w:rPr>
          <w:rFonts w:hint="default" w:ascii="Times New Roman" w:hAnsi="Times New Roman" w:cs="Times New Roman"/>
        </w:rPr>
        <w:t>, and neutral pH of 7.4</w:t>
      </w:r>
      <w:r>
        <w:rPr>
          <w:rFonts w:hint="default" w:ascii="Times New Roman" w:hAnsi="Times New Roman" w:cs="Times New Roman"/>
        </w:rPr>
        <w:t xml:space="preserve"> respectively</w:t>
      </w:r>
      <w:r>
        <w:rPr>
          <w:rFonts w:hint="default" w:ascii="Times New Roman" w:hAnsi="Times New Roman" w:cs="Times New Roman"/>
        </w:rPr>
        <w:t>.</w:t>
      </w:r>
      <w:bookmarkEnd w:id="0"/>
      <w:bookmarkEnd w:id="1"/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The cells are r</w:t>
      </w:r>
      <w:r>
        <w:rPr>
          <w:rFonts w:hint="default" w:ascii="Times New Roman" w:hAnsi="Times New Roman" w:cs="Times New Roman"/>
        </w:rPr>
        <w:t>esuspend</w:t>
      </w:r>
      <w:r>
        <w:rPr>
          <w:rFonts w:hint="default" w:ascii="Times New Roman" w:hAnsi="Times New Roman" w:cs="Times New Roman"/>
        </w:rPr>
        <w:t>ed</w:t>
      </w:r>
      <w:r>
        <w:rPr>
          <w:rFonts w:hint="default" w:ascii="Times New Roman" w:hAnsi="Times New Roman" w:cs="Times New Roman"/>
        </w:rPr>
        <w:t xml:space="preserve"> in pre-warmed (37 </w:t>
      </w:r>
      <w:r>
        <w:rPr>
          <w:rFonts w:hint="default" w:ascii="Times New Roman" w:hAnsi="Times New Roman" w:cs="Times New Roman"/>
          <w:szCs w:val="24"/>
        </w:rPr>
        <w:t>℃</w:t>
      </w:r>
      <w:r>
        <w:rPr>
          <w:rFonts w:hint="default" w:ascii="Times New Roman" w:hAnsi="Times New Roman" w:cs="Times New Roman"/>
        </w:rPr>
        <w:t>) culture medium at appropriate density.</w:t>
      </w:r>
    </w:p>
    <w:p w14:paraId="70CDB6CC">
      <w:pPr>
        <w:pStyle w:val="15"/>
        <w:numPr>
          <w:ilvl w:val="0"/>
          <w:numId w:val="2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Surface staining: </w:t>
      </w:r>
    </w:p>
    <w:p w14:paraId="5D8635E9">
      <w:pPr>
        <w:numPr>
          <w:ilvl w:val="0"/>
          <w:numId w:val="3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CD107a expression was analyzed in all twenty groups demonstrating cytotoxic activity using flow cytometry. </w:t>
      </w:r>
    </w:p>
    <w:p w14:paraId="00CF0AE2">
      <w:pPr>
        <w:numPr>
          <w:ilvl w:val="0"/>
          <w:numId w:val="3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Post-cytotoxicity assay, cells in each well were washed once with 1 mL of ice-cold PBS and resuspended in 100 </w:t>
      </w:r>
      <w:r>
        <w:rPr>
          <w:rFonts w:hint="default" w:ascii="Times New Roman" w:hAnsi="Times New Roman" w:cs="Times New Roman"/>
          <w:szCs w:val="24"/>
        </w:rPr>
        <w:t>μ</w:t>
      </w:r>
      <w:r>
        <w:rPr>
          <w:rFonts w:hint="default" w:ascii="Times New Roman" w:hAnsi="Times New Roman" w:cs="Times New Roman"/>
          <w:szCs w:val="24"/>
        </w:rPr>
        <w:t xml:space="preserve">L staining buffer. </w:t>
      </w:r>
    </w:p>
    <w:p w14:paraId="21E139E0">
      <w:pPr>
        <w:numPr>
          <w:ilvl w:val="0"/>
          <w:numId w:val="3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Cells were stained with CD107a-APC (BioLegend, 328620) and CD56-PE (BioLegend, 362508) to identify NK cells. </w:t>
      </w:r>
    </w:p>
    <w:p w14:paraId="5875FB93">
      <w:pPr>
        <w:numPr>
          <w:ilvl w:val="0"/>
          <w:numId w:val="3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Activated NK cells were defined as CD56⁺CD107a⁺, while total NK cells were CD56⁺. </w:t>
      </w:r>
    </w:p>
    <w:p w14:paraId="41411A65">
      <w:pPr>
        <w:numPr>
          <w:ilvl w:val="0"/>
          <w:numId w:val="3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CD107a-APC (1:100) and CD56-PE (1:50) were added. Samples were incubated at 4 </w:t>
      </w:r>
      <w:r>
        <w:rPr>
          <w:rFonts w:hint="default" w:ascii="Times New Roman" w:hAnsi="Times New Roman" w:cs="Times New Roman"/>
          <w:szCs w:val="24"/>
        </w:rPr>
        <w:t>℃</w:t>
      </w:r>
      <w:r>
        <w:rPr>
          <w:rFonts w:hint="default" w:ascii="Times New Roman" w:hAnsi="Times New Roman" w:cs="Times New Roman"/>
          <w:szCs w:val="24"/>
        </w:rPr>
        <w:t xml:space="preserve"> for 30 min protected from light. Control tubes were prepared.</w:t>
      </w:r>
    </w:p>
    <w:p w14:paraId="799E6AB5">
      <w:pPr>
        <w:numPr>
          <w:ilvl w:val="0"/>
          <w:numId w:val="3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200 </w:t>
      </w:r>
      <w:r>
        <w:rPr>
          <w:rFonts w:hint="default" w:ascii="Times New Roman" w:hAnsi="Times New Roman" w:cs="Times New Roman"/>
          <w:szCs w:val="24"/>
        </w:rPr>
        <w:t>μ</w:t>
      </w:r>
      <w:r>
        <w:rPr>
          <w:rFonts w:hint="default" w:ascii="Times New Roman" w:hAnsi="Times New Roman" w:cs="Times New Roman"/>
          <w:szCs w:val="24"/>
        </w:rPr>
        <w:t xml:space="preserve">L ice-cold Flow Staining Buffer was added. The tube was centrifuged at 300 </w:t>
      </w:r>
      <w:r>
        <w:rPr>
          <w:rFonts w:hint="default" w:ascii="Times New Roman" w:hAnsi="Times New Roman" w:cs="Times New Roman"/>
          <w:szCs w:val="24"/>
        </w:rPr>
        <w:t>×</w:t>
      </w:r>
      <w:r>
        <w:rPr>
          <w:rFonts w:hint="default" w:ascii="Times New Roman" w:hAnsi="Times New Roman" w:cs="Times New Roman"/>
          <w:szCs w:val="24"/>
        </w:rPr>
        <w:t xml:space="preserve"> g for 5 min. And the supernatant was aspirated completely.</w:t>
      </w:r>
    </w:p>
    <w:p w14:paraId="4D708FAC">
      <w:pPr>
        <w:numPr>
          <w:ilvl w:val="0"/>
          <w:numId w:val="3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The cells are resuspended with 100-200 </w:t>
      </w:r>
      <w:r>
        <w:rPr>
          <w:rFonts w:hint="default" w:ascii="Times New Roman" w:hAnsi="Times New Roman" w:cs="Times New Roman"/>
          <w:szCs w:val="24"/>
        </w:rPr>
        <w:t>μ</w:t>
      </w:r>
      <w:r>
        <w:rPr>
          <w:rFonts w:hint="default" w:ascii="Times New Roman" w:hAnsi="Times New Roman" w:cs="Times New Roman"/>
          <w:szCs w:val="24"/>
        </w:rPr>
        <w:t>L Fixation Buffer, and incubated at room temperature for 15-30 min.</w:t>
      </w:r>
    </w:p>
    <w:p w14:paraId="7244A54E">
      <w:pPr>
        <w:numPr>
          <w:ilvl w:val="0"/>
          <w:numId w:val="3"/>
        </w:num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200</w:t>
      </w:r>
      <w:r>
        <w:rPr>
          <w:rFonts w:hint="default" w:ascii="Times New Roman" w:hAnsi="Times New Roman" w:cs="Times New Roman"/>
          <w:szCs w:val="24"/>
        </w:rPr>
        <w:t xml:space="preserve"> μ</w:t>
      </w:r>
      <w:r>
        <w:rPr>
          <w:rFonts w:hint="default" w:ascii="Times New Roman" w:hAnsi="Times New Roman" w:cs="Times New Roman"/>
          <w:szCs w:val="24"/>
        </w:rPr>
        <w:t xml:space="preserve">L Flow Staining Buffer was added and the tube was centrifuged at 300 </w:t>
      </w:r>
      <w:bookmarkStart w:id="4" w:name="OLE_LINK14"/>
      <w:bookmarkStart w:id="5" w:name="OLE_LINK15"/>
      <w:r>
        <w:rPr>
          <w:rFonts w:hint="default" w:ascii="Times New Roman" w:hAnsi="Times New Roman" w:cs="Times New Roman"/>
          <w:szCs w:val="24"/>
        </w:rPr>
        <w:t>×</w:t>
      </w:r>
      <w:bookmarkEnd w:id="4"/>
      <w:bookmarkEnd w:id="5"/>
      <w:r>
        <w:rPr>
          <w:rFonts w:hint="default" w:ascii="Times New Roman" w:hAnsi="Times New Roman" w:cs="Times New Roman"/>
          <w:szCs w:val="24"/>
        </w:rPr>
        <w:t xml:space="preserve"> </w:t>
      </w:r>
      <w:r>
        <w:rPr>
          <w:rFonts w:hint="default" w:ascii="Times New Roman" w:hAnsi="Times New Roman" w:cs="Times New Roman"/>
          <w:szCs w:val="24"/>
        </w:rPr>
        <w:t xml:space="preserve">g for 5 min. The </w:t>
      </w:r>
      <w:r>
        <w:rPr>
          <w:rFonts w:hint="default" w:ascii="Times New Roman" w:hAnsi="Times New Roman" w:cs="Times New Roman"/>
          <w:szCs w:val="24"/>
        </w:rPr>
        <w:t xml:space="preserve">  </w:t>
      </w:r>
      <w:r>
        <w:rPr>
          <w:rFonts w:hint="default" w:ascii="Times New Roman" w:hAnsi="Times New Roman" w:cs="Times New Roman"/>
          <w:szCs w:val="24"/>
        </w:rPr>
        <w:t xml:space="preserve">supernatant was aspirated completely. </w:t>
      </w:r>
    </w:p>
    <w:p w14:paraId="5F20E89C">
      <w:pPr>
        <w:pStyle w:val="15"/>
        <w:numPr>
          <w:ilvl w:val="0"/>
          <w:numId w:val="2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Acquisition:</w:t>
      </w:r>
    </w:p>
    <w:p w14:paraId="59F8F8EB">
      <w:pPr>
        <w:numPr>
          <w:ilvl w:val="0"/>
          <w:numId w:val="4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The suspension was transferred to flow cytometry sample tubes.</w:t>
      </w:r>
    </w:p>
    <w:p w14:paraId="48B5032C">
      <w:pPr>
        <w:numPr>
          <w:ilvl w:val="0"/>
          <w:numId w:val="4"/>
        </w:numPr>
        <w:ind w:left="1140" w:hanging="36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Analysis Strategy:</w:t>
      </w:r>
    </w:p>
    <w:p w14:paraId="63479D34">
      <w:pPr>
        <w:ind w:left="780" w:firstLine="420" w:firstLineChars="20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Gate to exclude doublets (using FSC-A vs FSC-H).</w:t>
      </w:r>
    </w:p>
    <w:p w14:paraId="4D66B526">
      <w:pPr>
        <w:ind w:left="780" w:firstLine="420" w:firstLineChars="20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Gate to exclude dead cells (using a viability dye).</w:t>
      </w:r>
    </w:p>
    <w:p w14:paraId="784043CD">
      <w:pPr>
        <w:ind w:left="780" w:firstLine="420" w:firstLineChars="200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Identify the target cell population (NK cells: </w:t>
      </w:r>
      <w:r>
        <w:rPr>
          <w:rFonts w:hint="default" w:ascii="Times New Roman" w:hAnsi="Times New Roman" w:cs="Times New Roman"/>
          <w:szCs w:val="24"/>
        </w:rPr>
        <w:t>CD3⁻</w:t>
      </w:r>
      <w:r>
        <w:rPr>
          <w:rFonts w:hint="default" w:ascii="Times New Roman" w:hAnsi="Times New Roman" w:cs="Times New Roman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4"/>
        </w:rPr>
        <w:t>CD56⁺</w:t>
      </w:r>
      <w:r>
        <w:rPr>
          <w:rFonts w:hint="default" w:ascii="Times New Roman" w:hAnsi="Times New Roman" w:cs="Times New Roman"/>
          <w:szCs w:val="24"/>
        </w:rPr>
        <w:t>).</w:t>
      </w:r>
    </w:p>
    <w:p w14:paraId="4CB4B126">
      <w:pPr>
        <w:ind w:left="780"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4"/>
        </w:rPr>
        <w:t>Analyze CD107a expression level on the gated target cell population.</w:t>
      </w:r>
    </w:p>
    <w:p w14:paraId="05EC2F46">
      <w:pPr>
        <w:pStyle w:val="15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</w:rPr>
        <w:t>Result:</w:t>
      </w:r>
    </w:p>
    <w:p w14:paraId="1370CF2B">
      <w:pPr>
        <w:pStyle w:val="15"/>
        <w:ind w:left="360" w:firstLine="0" w:firstLineChars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14:ligatures w14:val="none"/>
        </w:rPr>
        <w:drawing>
          <wp:inline distT="0" distB="0" distL="0" distR="0">
            <wp:extent cx="2642235" cy="1694180"/>
            <wp:effectExtent l="0" t="0" r="5715" b="1270"/>
            <wp:docPr id="1693124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4013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21" cy="16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C8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Figure.1</w:t>
      </w:r>
      <w:r>
        <w:rPr>
          <w:rFonts w:hint="default" w:ascii="Times New Roman" w:hAnsi="Times New Roman" w:cs="Times New Roman"/>
        </w:rPr>
        <w:t xml:space="preserve"> CD107a</w:t>
      </w:r>
      <w:r>
        <w:rPr>
          <w:rFonts w:hint="default" w:ascii="Times New Roman" w:hAnsi="Times New Roman" w:cs="Times New Roman"/>
          <w:vertAlign w:val="superscript"/>
        </w:rPr>
        <w:t>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detection of NK cells pre-activated by </w:t>
      </w:r>
      <w:r>
        <w:rPr>
          <w:rFonts w:hint="default" w:ascii="Times New Roman" w:hAnsi="Times New Roman" w:cs="Times New Roman"/>
        </w:rPr>
        <w:t>IL-2, B51G35R, B51G35R-G, B34G35R, B34G35R-G, B51G9, B51G9-G</w:t>
      </w:r>
      <w:r>
        <w:rPr>
          <w:rFonts w:hint="default" w:ascii="Times New Roman" w:hAnsi="Times New Roman" w:cs="Times New Roman"/>
        </w:rPr>
        <w:t xml:space="preserve"> separately</w:t>
      </w:r>
      <w:r>
        <w:rPr>
          <w:rFonts w:hint="default" w:ascii="Times New Roman" w:hAnsi="Times New Roman" w:cs="Times New Roman"/>
        </w:rPr>
        <w:t xml:space="preserve"> at </w:t>
      </w:r>
      <w:r>
        <w:rPr>
          <w:rFonts w:hint="default" w:ascii="Times New Roman" w:hAnsi="Times New Roman" w:cs="Times New Roman"/>
        </w:rPr>
        <w:t xml:space="preserve">both </w:t>
      </w:r>
      <w:r>
        <w:rPr>
          <w:rFonts w:hint="default" w:ascii="Times New Roman" w:hAnsi="Times New Roman" w:cs="Times New Roman"/>
        </w:rPr>
        <w:t>pH=6.4 and pH=7.4.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Data are representative of at least three independent experiments</w:t>
      </w:r>
      <w:r>
        <w:rPr>
          <w:rFonts w:hint="default" w:ascii="Times New Roman" w:hAnsi="Times New Roman" w:cs="Times New Roman"/>
        </w:rPr>
        <w:t xml:space="preserve"> (**</w:t>
      </w:r>
      <w:r>
        <w:rPr>
          <w:rFonts w:hint="default" w:ascii="Times New Roman" w:hAnsi="Times New Roman" w:cs="Times New Roman"/>
          <w:i/>
          <w:iCs/>
        </w:rPr>
        <w:t xml:space="preserve">P </w:t>
      </w:r>
      <w:r>
        <w:rPr>
          <w:rFonts w:hint="default" w:ascii="Times New Roman" w:hAnsi="Times New Roman" w:cs="Times New Roman"/>
        </w:rPr>
        <w:t>&lt; 0.01, *</w:t>
      </w:r>
      <w:r>
        <w:rPr>
          <w:rFonts w:hint="default" w:ascii="Times New Roman" w:hAnsi="Times New Roman" w:cs="Times New Roman"/>
          <w:i/>
          <w:iCs/>
        </w:rPr>
        <w:t xml:space="preserve">P </w:t>
      </w:r>
      <w:r>
        <w:rPr>
          <w:rFonts w:hint="default" w:ascii="Times New Roman" w:hAnsi="Times New Roman" w:cs="Times New Roman"/>
        </w:rPr>
        <w:t>&lt; 0.05)</w:t>
      </w:r>
      <w:r>
        <w:rPr>
          <w:rFonts w:hint="default" w:ascii="Times New Roman" w:hAnsi="Times New Roman" w:cs="Times New Roman"/>
        </w:rPr>
        <w:t>.</w:t>
      </w:r>
    </w:p>
    <w:sectPr>
      <w:headerReference r:id="rId3" w:type="default"/>
      <w:pgSz w:w="11906" w:h="16838"/>
      <w:pgMar w:top="1134" w:right="1134" w:bottom="1134" w:left="1134" w:header="568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9CC2F">
    <w:pPr>
      <w:pStyle w:val="5"/>
      <w:spacing w:line="360" w:lineRule="auto"/>
      <w:jc w:val="left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sz w:val="32"/>
        <w:szCs w:val="32"/>
      </w:rPr>
      <w:t xml:space="preserve">SynthImmunol_NMU　     </w:t>
    </w:r>
    <w:r>
      <w:rPr>
        <w:rFonts w:hint="eastAsia" w:ascii="Times New Roman" w:hAnsi="Times New Roman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　             No.</w:t>
    </w:r>
    <w:r>
      <w:rPr>
        <w:rFonts w:hint="eastAsia" w:ascii="Times New Roman" w:hAnsi="Times New Roman"/>
        <w:b/>
        <w:sz w:val="32"/>
        <w:szCs w:val="32"/>
        <w:u w:val="single"/>
      </w:rPr>
      <w:t>20</w:t>
    </w:r>
  </w:p>
  <w:p w14:paraId="45BD4208">
    <w:pPr>
      <w:pStyle w:val="5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2025.09.10-2025.09.20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D6926"/>
    <w:multiLevelType w:val="singleLevel"/>
    <w:tmpl w:val="D0CD692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30975A21"/>
    <w:multiLevelType w:val="singleLevel"/>
    <w:tmpl w:val="30975A21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48F4984D"/>
    <w:multiLevelType w:val="singleLevel"/>
    <w:tmpl w:val="48F4984D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3">
    <w:nsid w:val="6FF25CDC"/>
    <w:multiLevelType w:val="multilevel"/>
    <w:tmpl w:val="6FF25C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1ZmM3NGEyNTU3MWJiNDkxZjI2ZTcxZmE3YWYxYTkifQ=="/>
  </w:docVars>
  <w:rsids>
    <w:rsidRoot w:val="0022508A"/>
    <w:rsid w:val="00000C59"/>
    <w:rsid w:val="00003594"/>
    <w:rsid w:val="00011B03"/>
    <w:rsid w:val="00021688"/>
    <w:rsid w:val="0004762D"/>
    <w:rsid w:val="00056B91"/>
    <w:rsid w:val="00066FB4"/>
    <w:rsid w:val="000A5F10"/>
    <w:rsid w:val="001313B2"/>
    <w:rsid w:val="001805D7"/>
    <w:rsid w:val="00185F7F"/>
    <w:rsid w:val="001D2B48"/>
    <w:rsid w:val="0022508A"/>
    <w:rsid w:val="00227BF6"/>
    <w:rsid w:val="00236087"/>
    <w:rsid w:val="002511A5"/>
    <w:rsid w:val="002B2F0A"/>
    <w:rsid w:val="002B436B"/>
    <w:rsid w:val="002C5AC5"/>
    <w:rsid w:val="002F192C"/>
    <w:rsid w:val="00316862"/>
    <w:rsid w:val="003404F1"/>
    <w:rsid w:val="00384656"/>
    <w:rsid w:val="003B38B8"/>
    <w:rsid w:val="003D4E63"/>
    <w:rsid w:val="003E5791"/>
    <w:rsid w:val="003F0AE0"/>
    <w:rsid w:val="00402FE7"/>
    <w:rsid w:val="00431390"/>
    <w:rsid w:val="00431C65"/>
    <w:rsid w:val="00441446"/>
    <w:rsid w:val="00443948"/>
    <w:rsid w:val="0048241A"/>
    <w:rsid w:val="00484C3A"/>
    <w:rsid w:val="004A1C09"/>
    <w:rsid w:val="004D6C49"/>
    <w:rsid w:val="004E550A"/>
    <w:rsid w:val="004F2A64"/>
    <w:rsid w:val="004F5053"/>
    <w:rsid w:val="00512D45"/>
    <w:rsid w:val="00514684"/>
    <w:rsid w:val="0052446C"/>
    <w:rsid w:val="00525203"/>
    <w:rsid w:val="005A1D48"/>
    <w:rsid w:val="005C4F5D"/>
    <w:rsid w:val="005F021C"/>
    <w:rsid w:val="0060435F"/>
    <w:rsid w:val="006110E4"/>
    <w:rsid w:val="00616563"/>
    <w:rsid w:val="00637C13"/>
    <w:rsid w:val="00651761"/>
    <w:rsid w:val="00661C81"/>
    <w:rsid w:val="006661CD"/>
    <w:rsid w:val="00677586"/>
    <w:rsid w:val="00680BD4"/>
    <w:rsid w:val="00686C11"/>
    <w:rsid w:val="006B3284"/>
    <w:rsid w:val="006C096B"/>
    <w:rsid w:val="00705EAD"/>
    <w:rsid w:val="00721625"/>
    <w:rsid w:val="00776B8B"/>
    <w:rsid w:val="00782244"/>
    <w:rsid w:val="007A140F"/>
    <w:rsid w:val="007B3E2A"/>
    <w:rsid w:val="007E53F7"/>
    <w:rsid w:val="00817436"/>
    <w:rsid w:val="0083504C"/>
    <w:rsid w:val="0083581E"/>
    <w:rsid w:val="008666B3"/>
    <w:rsid w:val="008A0BF3"/>
    <w:rsid w:val="008D7366"/>
    <w:rsid w:val="008F20BD"/>
    <w:rsid w:val="00900515"/>
    <w:rsid w:val="00906B68"/>
    <w:rsid w:val="0093587C"/>
    <w:rsid w:val="00962F64"/>
    <w:rsid w:val="0096525C"/>
    <w:rsid w:val="00970956"/>
    <w:rsid w:val="009902CA"/>
    <w:rsid w:val="009B34CF"/>
    <w:rsid w:val="009D1E81"/>
    <w:rsid w:val="009F17C7"/>
    <w:rsid w:val="00A06ADB"/>
    <w:rsid w:val="00A12C29"/>
    <w:rsid w:val="00A33D24"/>
    <w:rsid w:val="00A55A10"/>
    <w:rsid w:val="00A56E8C"/>
    <w:rsid w:val="00A57502"/>
    <w:rsid w:val="00A80761"/>
    <w:rsid w:val="00A854E4"/>
    <w:rsid w:val="00AB4082"/>
    <w:rsid w:val="00AC6461"/>
    <w:rsid w:val="00AD47BE"/>
    <w:rsid w:val="00AE1A6E"/>
    <w:rsid w:val="00B34BBE"/>
    <w:rsid w:val="00B46D26"/>
    <w:rsid w:val="00B60B3A"/>
    <w:rsid w:val="00B63043"/>
    <w:rsid w:val="00B659D6"/>
    <w:rsid w:val="00B81B36"/>
    <w:rsid w:val="00B85415"/>
    <w:rsid w:val="00B86E07"/>
    <w:rsid w:val="00B87DA4"/>
    <w:rsid w:val="00BC36CD"/>
    <w:rsid w:val="00BE1C15"/>
    <w:rsid w:val="00BE1EB3"/>
    <w:rsid w:val="00BF7B34"/>
    <w:rsid w:val="00C113B4"/>
    <w:rsid w:val="00C44FC9"/>
    <w:rsid w:val="00C65B41"/>
    <w:rsid w:val="00CC07A0"/>
    <w:rsid w:val="00CC687E"/>
    <w:rsid w:val="00CD003B"/>
    <w:rsid w:val="00D467A0"/>
    <w:rsid w:val="00D80BC1"/>
    <w:rsid w:val="00D91B02"/>
    <w:rsid w:val="00DA5A7D"/>
    <w:rsid w:val="00DE7592"/>
    <w:rsid w:val="00E37DEF"/>
    <w:rsid w:val="00E54E81"/>
    <w:rsid w:val="00E5776C"/>
    <w:rsid w:val="00E82EBF"/>
    <w:rsid w:val="00E91018"/>
    <w:rsid w:val="00F06EB8"/>
    <w:rsid w:val="00F109A2"/>
    <w:rsid w:val="00F1689E"/>
    <w:rsid w:val="00F21F36"/>
    <w:rsid w:val="00F23A71"/>
    <w:rsid w:val="00F3032E"/>
    <w:rsid w:val="00F362B3"/>
    <w:rsid w:val="00F566CC"/>
    <w:rsid w:val="00F766FD"/>
    <w:rsid w:val="00FD2953"/>
    <w:rsid w:val="00FD7445"/>
    <w:rsid w:val="00FE20E0"/>
    <w:rsid w:val="00FE2A91"/>
    <w:rsid w:val="00FF6644"/>
    <w:rsid w:val="010B47FC"/>
    <w:rsid w:val="046B4AA3"/>
    <w:rsid w:val="12C40104"/>
    <w:rsid w:val="2DE3404B"/>
    <w:rsid w:val="676F286E"/>
    <w:rsid w:val="74A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uiPriority w:val="99"/>
    <w:pPr>
      <w:jc w:val="left"/>
    </w:pPr>
  </w:style>
  <w:style w:type="paragraph" w:styleId="3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link w:val="5"/>
    <w:qFormat/>
    <w:uiPriority w:val="99"/>
    <w:rPr>
      <w:sz w:val="18"/>
      <w:szCs w:val="18"/>
    </w:rPr>
  </w:style>
  <w:style w:type="character" w:customStyle="1" w:styleId="14">
    <w:name w:val="页脚 字符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14:ligatures w14:val="standardContextual"/>
    </w:rPr>
  </w:style>
  <w:style w:type="character" w:customStyle="1" w:styleId="16">
    <w:name w:val="katex-mathml"/>
    <w:basedOn w:val="10"/>
    <w:qFormat/>
    <w:uiPriority w:val="0"/>
  </w:style>
  <w:style w:type="character" w:customStyle="1" w:styleId="17">
    <w:name w:val="mord"/>
    <w:basedOn w:val="10"/>
    <w:uiPriority w:val="0"/>
  </w:style>
  <w:style w:type="character" w:customStyle="1" w:styleId="18">
    <w:name w:val="mrel"/>
    <w:basedOn w:val="10"/>
    <w:qFormat/>
    <w:uiPriority w:val="0"/>
  </w:style>
  <w:style w:type="character" w:customStyle="1" w:styleId="19">
    <w:name w:val="vlist-s"/>
    <w:basedOn w:val="10"/>
    <w:uiPriority w:val="0"/>
  </w:style>
  <w:style w:type="character" w:customStyle="1" w:styleId="20">
    <w:name w:val="批注文字 字符"/>
    <w:basedOn w:val="10"/>
    <w:link w:val="2"/>
    <w:semiHidden/>
    <w:qFormat/>
    <w:uiPriority w:val="99"/>
    <w:rPr>
      <w:kern w:val="2"/>
      <w:sz w:val="21"/>
      <w:szCs w:val="22"/>
    </w:rPr>
  </w:style>
  <w:style w:type="character" w:customStyle="1" w:styleId="21">
    <w:name w:val="批注主题 字符"/>
    <w:basedOn w:val="20"/>
    <w:link w:val="7"/>
    <w:semiHidden/>
    <w:qFormat/>
    <w:uiPriority w:val="99"/>
    <w:rPr>
      <w:b/>
      <w:bCs/>
      <w:kern w:val="2"/>
      <w:sz w:val="21"/>
      <w:szCs w:val="22"/>
    </w:rPr>
  </w:style>
  <w:style w:type="character" w:customStyle="1" w:styleId="22">
    <w:name w:val="批注框文本 字符"/>
    <w:basedOn w:val="10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MOREWING</Company>
  <Pages>2</Pages>
  <Words>414</Words>
  <Characters>2310</Characters>
  <Lines>44</Lines>
  <Paragraphs>39</Paragraphs>
  <TotalTime>484</TotalTime>
  <ScaleCrop>false</ScaleCrop>
  <LinksUpToDate>false</LinksUpToDate>
  <CharactersWithSpaces>2697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2024-09-02T15:05:00Z</dcterms:created>
  <dc:creator>Sam</dc:creator>
  <cp:lastModifiedBy>Michille.</cp:lastModifiedBy>
  <dcterms:modified xsi:type="dcterms:W3CDTF">2025-09-21T10:59:56Z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ICV">
    <vt:lpwstr>BEAF7E3014E149C3B8F1837BCCDE1B13_13</vt:lpwstr>
  </property>
  <property fmtid="{D5CDD505-2E9C-101B-9397-08002B2CF9AE}" pid="5" name="KSOTemplateDocerSaveRecord">
    <vt:lpwstr>eyJoZGlkIjoiYmI1ZmM3NGEyNTU3MWJiNDkxZjI2ZTcxZmE3YWYxYTkiLCJ1c2VySWQiOiI1OTYxODI2ODQifQ==</vt:lpwstr>
  </property>
</Properties>
</file>