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Июль–август 2026: сценарии инфляции КБР</w:t>
      </w:r>
    </w:p>
    <w:p>
      <w:pPr>
        <w:jc w:val="center"/>
      </w:pPr>
      <w:r>
        <w:rPr>
          <w:i/>
        </w:rPr>
        <w:t>Краткая записка для руководства | 13 июля 2026</w:t>
      </w:r>
    </w:p>
    <w:p>
      <w:pPr>
        <w:pStyle w:val="Heading1"/>
      </w:pPr>
      <w:r>
        <w:t>Главный вывод</w:t>
      </w:r>
    </w:p>
    <w:p>
      <w:r>
        <w:t>Июньский ИПЦ составил 101,06. В июле нет обычной индексации ЖКУ, но сохраняется риск дорогого топлива. Рабочая точка на июль — 101,40, то есть +1,40% к предыдущему месяцу; KPI-коридор — 100,90–101,90. Центральный ориентир на август — 100,50, или +0,50%.</w:t>
      </w:r>
    </w:p>
    <w:p>
      <w:r>
        <w:t>Эта точка не предполагает нового полного топливного шока. Она учитывает, что бензин, вероятно, не снизится, но цена около 120 руб./л ещё не подтверждена официальной недельной статистикой.</w:t>
      </w:r>
    </w:p>
    <w:p>
      <w:pPr>
        <w:pStyle w:val="Heading1"/>
      </w:pPr>
      <w:r>
        <w:t>Что показывают расчёты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t>Ориентир на июль</w:t>
            </w:r>
          </w:p>
        </w:tc>
        <w:tc>
          <w:tcPr>
            <w:tcW w:type="dxa" w:w="2880"/>
            <w:shd w:fill="D9EAF7"/>
          </w:tcPr>
          <w:p>
            <w:r>
              <w:t>Значение</w:t>
            </w:r>
          </w:p>
        </w:tc>
        <w:tc>
          <w:tcPr>
            <w:tcW w:type="dxa" w:w="2880"/>
            <w:shd w:fill="D9EAF7"/>
          </w:tcPr>
          <w:p>
            <w:r>
              <w:t>Как использовать</w:t>
            </w:r>
          </w:p>
        </w:tc>
      </w:tr>
      <w:tr>
        <w:tc>
          <w:tcPr>
            <w:tcW w:type="dxa" w:w="2880"/>
          </w:tcPr>
          <w:p>
            <w:r>
              <w:t>Production Ensemble</w:t>
            </w:r>
          </w:p>
        </w:tc>
        <w:tc>
          <w:tcPr>
            <w:tcW w:type="dxa" w:w="2880"/>
          </w:tcPr>
          <w:p>
            <w:r>
              <w:t>+1,14%</w:t>
            </w:r>
          </w:p>
        </w:tc>
        <w:tc>
          <w:tcPr>
            <w:tcW w:type="dxa" w:w="2880"/>
          </w:tcPr>
          <w:p>
            <w:r>
              <w:t>Модельный ориентир</w:t>
            </w:r>
          </w:p>
        </w:tc>
      </w:tr>
      <w:tr>
        <w:tc>
          <w:tcPr>
            <w:tcW w:type="dxa" w:w="2880"/>
          </w:tcPr>
          <w:p>
            <w:r>
              <w:t>После исключения обычной июльской индексации ЖКУ</w:t>
            </w:r>
          </w:p>
        </w:tc>
        <w:tc>
          <w:tcPr>
            <w:tcW w:type="dxa" w:w="2880"/>
          </w:tcPr>
          <w:p>
            <w:r>
              <w:t>+0,89%</w:t>
            </w:r>
          </w:p>
        </w:tc>
        <w:tc>
          <w:tcPr>
            <w:tcW w:type="dxa" w:w="2880"/>
          </w:tcPr>
          <w:p>
            <w:r>
              <w:t>Нижний модельный ориентир; в нём уже есть обычный топливный фон</w:t>
            </w:r>
          </w:p>
        </w:tc>
      </w:tr>
      <w:tr>
        <w:tc>
          <w:tcPr>
            <w:tcW w:type="dxa" w:w="2880"/>
          </w:tcPr>
          <w:p>
            <w:r>
              <w:t>Свежий недельный сигнал</w:t>
            </w:r>
          </w:p>
        </w:tc>
        <w:tc>
          <w:tcPr>
            <w:tcW w:type="dxa" w:w="2880"/>
          </w:tcPr>
          <w:p>
            <w:r>
              <w:t>+1,41%</w:t>
            </w:r>
          </w:p>
        </w:tc>
        <w:tc>
          <w:tcPr>
            <w:tcW w:type="dxa" w:w="2880"/>
          </w:tcPr>
          <w:p>
            <w:r>
              <w:t>Одна неделя; оперативный ориентир, не факт за месяц</w:t>
            </w:r>
          </w:p>
        </w:tc>
      </w:tr>
      <w:tr>
        <w:tc>
          <w:tcPr>
            <w:tcW w:type="dxa" w:w="2880"/>
          </w:tcPr>
          <w:p>
            <w:r>
              <w:t>Рабочая точка для обсуждения</w:t>
            </w:r>
          </w:p>
        </w:tc>
        <w:tc>
          <w:tcPr>
            <w:tcW w:type="dxa" w:w="2880"/>
          </w:tcPr>
          <w:p>
            <w:r>
              <w:t>+1,40%</w:t>
            </w:r>
          </w:p>
        </w:tc>
        <w:tc>
          <w:tcPr>
            <w:tcW w:type="dxa" w:w="2880"/>
          </w:tcPr>
          <w:p>
            <w:r>
              <w:t>Между модельным и недельным ориентиром</w:t>
            </w:r>
          </w:p>
        </w:tc>
      </w:tr>
    </w:tbl>
    <w:p>
      <w:pPr>
        <w:pStyle w:val="Heading1"/>
      </w:pPr>
      <w:r>
        <w:t>Почему коридор 100,90–101,90</w:t>
      </w:r>
    </w:p>
    <w:p>
      <w:r>
        <w:t>Ширина коридора задана KPI: прогноз ±0,5 п.п. Центральная точка 101,40 — округлённый свежий недельный ориентир 101,41%. Диапазон 100,90–101,90 задаёт рабочую границу KPI, а не статистический доверительный интервал.</w:t>
      </w:r>
    </w:p>
    <w:p>
      <w:r>
        <w:t>Это не статистическая гарантия и не доверительный интервал: коридор нужен как безопасный рабочий диапазон для KPI.</w:t>
      </w:r>
    </w:p>
    <w:p>
      <w:pPr>
        <w:pStyle w:val="Heading1"/>
      </w:pPr>
      <w:r>
        <w:t>Сценарии июля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t>Сценарий</w:t>
            </w:r>
          </w:p>
        </w:tc>
        <w:tc>
          <w:tcPr>
            <w:tcW w:type="dxa" w:w="2160"/>
            <w:shd w:fill="D9EAF7"/>
          </w:tcPr>
          <w:p>
            <w:r>
              <w:t>ИПЦ, индекс</w:t>
            </w:r>
          </w:p>
        </w:tc>
        <w:tc>
          <w:tcPr>
            <w:tcW w:type="dxa" w:w="2160"/>
            <w:shd w:fill="D9EAF7"/>
          </w:tcPr>
          <w:p>
            <w:r>
              <w:t>MoM</w:t>
            </w:r>
          </w:p>
        </w:tc>
        <w:tc>
          <w:tcPr>
            <w:tcW w:type="dxa" w:w="2160"/>
            <w:shd w:fill="D9EAF7"/>
          </w:tcPr>
          <w:p>
            <w:r>
              <w:t>Что должно произойти</w:t>
            </w:r>
          </w:p>
        </w:tc>
      </w:tr>
      <w:tr>
        <w:tc>
          <w:tcPr>
            <w:tcW w:type="dxa" w:w="2160"/>
          </w:tcPr>
          <w:p>
            <w:r>
              <w:t>Нижняя граница KPI</w:t>
            </w:r>
          </w:p>
        </w:tc>
        <w:tc>
          <w:tcPr>
            <w:tcW w:type="dxa" w:w="2160"/>
          </w:tcPr>
          <w:p>
            <w:r>
              <w:t>100,90</w:t>
            </w:r>
          </w:p>
        </w:tc>
        <w:tc>
          <w:tcPr>
            <w:tcW w:type="dxa" w:w="2160"/>
          </w:tcPr>
          <w:p>
            <w:r>
              <w:t>+0,90%</w:t>
            </w:r>
          </w:p>
        </w:tc>
        <w:tc>
          <w:tcPr>
            <w:tcW w:type="dxa" w:w="2160"/>
          </w:tcPr>
          <w:p>
            <w:r>
              <w:t>Нет нового роста топлива; сезонное снижение части продовольствия</w:t>
            </w:r>
          </w:p>
        </w:tc>
      </w:tr>
      <w:tr>
        <w:tc>
          <w:tcPr>
            <w:tcW w:type="dxa" w:w="2160"/>
          </w:tcPr>
          <w:p>
            <w:r>
              <w:t>Рабочий</w:t>
            </w:r>
          </w:p>
        </w:tc>
        <w:tc>
          <w:tcPr>
            <w:tcW w:type="dxa" w:w="2160"/>
          </w:tcPr>
          <w:p>
            <w:r>
              <w:t>101,40</w:t>
            </w:r>
          </w:p>
        </w:tc>
        <w:tc>
          <w:tcPr>
            <w:tcW w:type="dxa" w:w="2160"/>
          </w:tcPr>
          <w:p>
            <w:r>
              <w:t>+1,40%</w:t>
            </w:r>
          </w:p>
        </w:tc>
        <w:tc>
          <w:tcPr>
            <w:tcW w:type="dxa" w:w="2160"/>
          </w:tcPr>
          <w:p>
            <w:r>
              <w:t>Топливо держится; свежий недельный ориентир реализуется</w:t>
            </w:r>
          </w:p>
        </w:tc>
      </w:tr>
      <w:tr>
        <w:tc>
          <w:tcPr>
            <w:tcW w:type="dxa" w:w="2160"/>
          </w:tcPr>
          <w:p>
            <w:r>
              <w:t>Верхняя граница KPI</w:t>
            </w:r>
          </w:p>
        </w:tc>
        <w:tc>
          <w:tcPr>
            <w:tcW w:type="dxa" w:w="2160"/>
          </w:tcPr>
          <w:p>
            <w:r>
              <w:t>101,90</w:t>
            </w:r>
          </w:p>
        </w:tc>
        <w:tc>
          <w:tcPr>
            <w:tcW w:type="dxa" w:w="2160"/>
          </w:tcPr>
          <w:p>
            <w:r>
              <w:t>+1,90%</w:t>
            </w:r>
          </w:p>
        </w:tc>
        <w:tc>
          <w:tcPr>
            <w:tcW w:type="dxa" w:w="2160"/>
          </w:tcPr>
          <w:p>
            <w:r>
              <w:t>Усиливается перенос топлива в цены и логистику</w:t>
            </w:r>
          </w:p>
        </w:tc>
      </w:tr>
      <w:tr>
        <w:tc>
          <w:tcPr>
            <w:tcW w:type="dxa" w:w="2160"/>
          </w:tcPr>
          <w:p>
            <w:r>
              <w:t>Стресс</w:t>
            </w:r>
          </w:p>
        </w:tc>
        <w:tc>
          <w:tcPr>
            <w:tcW w:type="dxa" w:w="2160"/>
          </w:tcPr>
          <w:p>
            <w:r>
              <w:t>102,30</w:t>
            </w:r>
          </w:p>
        </w:tc>
        <w:tc>
          <w:tcPr>
            <w:tcW w:type="dxa" w:w="2160"/>
          </w:tcPr>
          <w:p>
            <w:r>
              <w:t>+2,30%</w:t>
            </w:r>
          </w:p>
        </w:tc>
        <w:tc>
          <w:tcPr>
            <w:tcW w:type="dxa" w:w="2160"/>
          </w:tcPr>
          <w:p>
            <w:r>
              <w:t>Официально подтверждается экстремальный топливный шок</w:t>
            </w:r>
          </w:p>
        </w:tc>
      </w:tr>
    </w:tbl>
    <w:p>
      <w:r>
        <w:t>Ранее использовавшиеся 101,70 следует считать верхней условной топливной веткой, а не базовым прогнозом: механическое добавление топлива к headline-модели может повторно учитывать обычный топливный фон.</w:t>
      </w:r>
    </w:p>
    <w:p>
      <w:pPr>
        <w:pStyle w:val="Heading1"/>
      </w:pPr>
      <w:r>
        <w:t>Август: что важно</w:t>
      </w:r>
    </w:p>
    <w:p>
      <w:r>
        <w:t>Высокая цена топлива, достигнутая в июле, сама по себе не даёт второй прямой вклад в августовский месячный индекс. Для августа важнее, изменится ли средняя цена топлива относительно июля.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t>Сценарий августа</w:t>
            </w:r>
          </w:p>
        </w:tc>
        <w:tc>
          <w:tcPr>
            <w:tcW w:type="dxa" w:w="2880"/>
            <w:shd w:fill="D9EAF7"/>
          </w:tcPr>
          <w:p>
            <w:r>
              <w:t>Ориентир</w:t>
            </w:r>
          </w:p>
        </w:tc>
        <w:tc>
          <w:tcPr>
            <w:tcW w:type="dxa" w:w="2880"/>
            <w:shd w:fill="D9EAF7"/>
          </w:tcPr>
          <w:p>
            <w:r>
              <w:t>Смысл</w:t>
            </w:r>
          </w:p>
        </w:tc>
      </w:tr>
      <w:tr>
        <w:tc>
          <w:tcPr>
            <w:tcW w:type="dxa" w:w="2880"/>
          </w:tcPr>
          <w:p>
            <w:r>
              <w:t>Цена топлива снижается</w:t>
            </w:r>
          </w:p>
        </w:tc>
        <w:tc>
          <w:tcPr>
            <w:tcW w:type="dxa" w:w="2880"/>
          </w:tcPr>
          <w:p>
            <w:r>
              <w:t>ниже +0,50%</w:t>
            </w:r>
          </w:p>
        </w:tc>
        <w:tc>
          <w:tcPr>
            <w:tcW w:type="dxa" w:w="2880"/>
          </w:tcPr>
          <w:p>
            <w:r>
              <w:t>Появляется новый отрицательный прямой вклад</w:t>
            </w:r>
          </w:p>
        </w:tc>
      </w:tr>
      <w:tr>
        <w:tc>
          <w:tcPr>
            <w:tcW w:type="dxa" w:w="2880"/>
          </w:tcPr>
          <w:p>
            <w:r>
              <w:t>Цена удерживается</w:t>
            </w:r>
          </w:p>
        </w:tc>
        <w:tc>
          <w:tcPr>
            <w:tcW w:type="dxa" w:w="2880"/>
          </w:tcPr>
          <w:p>
            <w:r>
              <w:t>около +0,50%</w:t>
            </w:r>
          </w:p>
        </w:tc>
        <w:tc>
          <w:tcPr>
            <w:tcW w:type="dxa" w:w="2880"/>
          </w:tcPr>
          <w:p>
            <w:r>
              <w:t>Прямой вклад близок к нулю; остаётся перенос через доставку и ожидания</w:t>
            </w:r>
          </w:p>
        </w:tc>
      </w:tr>
      <w:tr>
        <w:tc>
          <w:tcPr>
            <w:tcW w:type="dxa" w:w="2880"/>
          </w:tcPr>
          <w:p>
            <w:r>
              <w:t>Цена растёт снова</w:t>
            </w:r>
          </w:p>
        </w:tc>
        <w:tc>
          <w:tcPr>
            <w:tcW w:type="dxa" w:w="2880"/>
          </w:tcPr>
          <w:p>
            <w:r>
              <w:t>выше +0,50%</w:t>
            </w:r>
          </w:p>
        </w:tc>
        <w:tc>
          <w:tcPr>
            <w:tcW w:type="dxa" w:w="2880"/>
          </w:tcPr>
          <w:p>
            <w:r>
              <w:t>Появляется новый положительный прямой вклад и усиливается перенос</w:t>
            </w:r>
          </w:p>
        </w:tc>
      </w:tr>
    </w:tbl>
    <w:p>
      <w:r>
        <w:t>Центральный ориентир на август — 100,50, или +0,50%. Он предполагает отсутствие нового прямого топливного вклада относительно уже высокого июля и умеренный перенос через доставку, товары и услуги.</w:t>
      </w:r>
    </w:p>
    <w:p>
      <w:pPr>
        <w:pStyle w:val="Heading1"/>
      </w:pPr>
      <w:r>
        <w:t>Сценарии августа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Сценарий</w:t>
            </w:r>
          </w:p>
        </w:tc>
        <w:tc>
          <w:tcPr>
            <w:tcW w:type="dxa" w:w="2160"/>
          </w:tcPr>
          <w:p>
            <w:r>
              <w:t>ИПЦ, индекс</w:t>
            </w:r>
          </w:p>
        </w:tc>
        <w:tc>
          <w:tcPr>
            <w:tcW w:type="dxa" w:w="2160"/>
          </w:tcPr>
          <w:p>
            <w:r>
              <w:t>MoM</w:t>
            </w:r>
          </w:p>
        </w:tc>
        <w:tc>
          <w:tcPr>
            <w:tcW w:type="dxa" w:w="2160"/>
          </w:tcPr>
          <w:p>
            <w:r>
              <w:t>Что должно произойти</w:t>
            </w:r>
          </w:p>
        </w:tc>
      </w:tr>
      <w:tr>
        <w:tc>
          <w:tcPr>
            <w:tcW w:type="dxa" w:w="2160"/>
          </w:tcPr>
          <w:p>
            <w:r>
              <w:t>Низкая нетопливная база</w:t>
            </w:r>
          </w:p>
        </w:tc>
        <w:tc>
          <w:tcPr>
            <w:tcW w:type="dxa" w:w="2160"/>
          </w:tcPr>
          <w:p>
            <w:r>
              <w:t>99,95</w:t>
            </w:r>
          </w:p>
        </w:tc>
        <w:tc>
          <w:tcPr>
            <w:tcW w:type="dxa" w:w="2160"/>
          </w:tcPr>
          <w:p>
            <w:r>
              <w:t>−0,05%</w:t>
            </w:r>
          </w:p>
        </w:tc>
        <w:tc>
          <w:tcPr>
            <w:tcW w:type="dxa" w:w="2160"/>
          </w:tcPr>
          <w:p>
            <w:r>
              <w:t>Топливо уже вернулось к уровню 29.06 в июле; в августе прямой вклад равен нулю, итог задаёт нетопливная база −0,05 п.п.</w:t>
            </w:r>
          </w:p>
        </w:tc>
      </w:tr>
      <w:tr>
        <w:tc>
          <w:tcPr>
            <w:tcW w:type="dxa" w:w="2160"/>
          </w:tcPr>
          <w:p>
            <w:r>
              <w:t>Рабочий</w:t>
            </w:r>
          </w:p>
        </w:tc>
        <w:tc>
          <w:tcPr>
            <w:tcW w:type="dxa" w:w="2160"/>
          </w:tcPr>
          <w:p>
            <w:r>
              <w:t>100,50</w:t>
            </w:r>
          </w:p>
        </w:tc>
        <w:tc>
          <w:tcPr>
            <w:tcW w:type="dxa" w:w="2160"/>
          </w:tcPr>
          <w:p>
            <w:r>
              <w:t>+0,50%</w:t>
            </w:r>
          </w:p>
        </w:tc>
        <w:tc>
          <w:tcPr>
            <w:tcW w:type="dxa" w:w="2160"/>
          </w:tcPr>
          <w:p>
            <w:r>
              <w:t>Цена топлива удерживается; прямой вклад близок к нулю, сохраняется умеренный перенос.</w:t>
            </w:r>
          </w:p>
        </w:tc>
      </w:tr>
      <w:tr>
        <w:tc>
          <w:tcPr>
            <w:tcW w:type="dxa" w:w="2160"/>
          </w:tcPr>
          <w:p>
            <w:r>
              <w:t>Лаговый стресс</w:t>
            </w:r>
          </w:p>
        </w:tc>
        <w:tc>
          <w:tcPr>
            <w:tcW w:type="dxa" w:w="2160"/>
          </w:tcPr>
          <w:p>
            <w:r>
              <w:t>100,75</w:t>
            </w:r>
          </w:p>
        </w:tc>
        <w:tc>
          <w:tcPr>
            <w:tcW w:type="dxa" w:w="2160"/>
          </w:tcPr>
          <w:p>
            <w:r>
              <w:t>+0,75%</w:t>
            </w:r>
          </w:p>
        </w:tc>
        <w:tc>
          <w:tcPr>
            <w:tcW w:type="dxa" w:w="2160"/>
          </w:tcPr>
          <w:p>
            <w:r>
              <w:t>Цена топлива удерживается на высоком июльском уровне; усиливаются ожидания и логистика без второго прямого вклада.</w:t>
            </w:r>
          </w:p>
        </w:tc>
      </w:tr>
    </w:tbl>
    <w:p>
      <w:pPr>
        <w:pStyle w:val="Heading1"/>
      </w:pPr>
      <w:r>
        <w:t>Центральная траектория до декабря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Месяц</w:t>
            </w:r>
          </w:p>
        </w:tc>
        <w:tc>
          <w:tcPr>
            <w:tcW w:type="dxa" w:w="2880"/>
          </w:tcPr>
          <w:p>
            <w:r>
              <w:t>ИПЦ, индекс</w:t>
            </w:r>
          </w:p>
        </w:tc>
        <w:tc>
          <w:tcPr>
            <w:tcW w:type="dxa" w:w="2880"/>
          </w:tcPr>
          <w:p>
            <w:r>
              <w:t>MoM</w:t>
            </w:r>
          </w:p>
        </w:tc>
      </w:tr>
      <w:tr>
        <w:tc>
          <w:tcPr>
            <w:tcW w:type="dxa" w:w="2880"/>
          </w:tcPr>
          <w:p>
            <w:r>
              <w:t>Июль</w:t>
            </w:r>
          </w:p>
        </w:tc>
        <w:tc>
          <w:tcPr>
            <w:tcW w:type="dxa" w:w="2880"/>
          </w:tcPr>
          <w:p>
            <w:r>
              <w:t>101,40</w:t>
            </w:r>
          </w:p>
        </w:tc>
        <w:tc>
          <w:tcPr>
            <w:tcW w:type="dxa" w:w="2880"/>
          </w:tcPr>
          <w:p>
            <w:r>
              <w:t>+1,40%</w:t>
            </w:r>
          </w:p>
        </w:tc>
      </w:tr>
      <w:tr>
        <w:tc>
          <w:tcPr>
            <w:tcW w:type="dxa" w:w="2880"/>
          </w:tcPr>
          <w:p>
            <w:r>
              <w:t>Август</w:t>
            </w:r>
          </w:p>
        </w:tc>
        <w:tc>
          <w:tcPr>
            <w:tcW w:type="dxa" w:w="2880"/>
          </w:tcPr>
          <w:p>
            <w:r>
              <w:t>100,50</w:t>
            </w:r>
          </w:p>
        </w:tc>
        <w:tc>
          <w:tcPr>
            <w:tcW w:type="dxa" w:w="2880"/>
          </w:tcPr>
          <w:p>
            <w:r>
              <w:t>+0,50%</w:t>
            </w:r>
          </w:p>
        </w:tc>
      </w:tr>
      <w:tr>
        <w:tc>
          <w:tcPr>
            <w:tcW w:type="dxa" w:w="2880"/>
          </w:tcPr>
          <w:p>
            <w:r>
              <w:t>Сентябрь</w:t>
            </w:r>
          </w:p>
        </w:tc>
        <w:tc>
          <w:tcPr>
            <w:tcW w:type="dxa" w:w="2880"/>
          </w:tcPr>
          <w:p>
            <w:r>
              <w:t>100,65</w:t>
            </w:r>
          </w:p>
        </w:tc>
        <w:tc>
          <w:tcPr>
            <w:tcW w:type="dxa" w:w="2880"/>
          </w:tcPr>
          <w:p>
            <w:r>
              <w:t>+0,65%</w:t>
            </w:r>
          </w:p>
        </w:tc>
      </w:tr>
      <w:tr>
        <w:tc>
          <w:tcPr>
            <w:tcW w:type="dxa" w:w="2880"/>
          </w:tcPr>
          <w:p>
            <w:r>
              <w:t>Октябрь</w:t>
            </w:r>
          </w:p>
        </w:tc>
        <w:tc>
          <w:tcPr>
            <w:tcW w:type="dxa" w:w="2880"/>
          </w:tcPr>
          <w:p>
            <w:r>
              <w:t>101,30</w:t>
            </w:r>
          </w:p>
        </w:tc>
        <w:tc>
          <w:tcPr>
            <w:tcW w:type="dxa" w:w="2880"/>
          </w:tcPr>
          <w:p>
            <w:r>
              <w:t>+1,30%</w:t>
            </w:r>
          </w:p>
        </w:tc>
      </w:tr>
      <w:tr>
        <w:tc>
          <w:tcPr>
            <w:tcW w:type="dxa" w:w="2880"/>
          </w:tcPr>
          <w:p>
            <w:r>
              <w:t>Ноябрь</w:t>
            </w:r>
          </w:p>
        </w:tc>
        <w:tc>
          <w:tcPr>
            <w:tcW w:type="dxa" w:w="2880"/>
          </w:tcPr>
          <w:p>
            <w:r>
              <w:t>100,45</w:t>
            </w:r>
          </w:p>
        </w:tc>
        <w:tc>
          <w:tcPr>
            <w:tcW w:type="dxa" w:w="2880"/>
          </w:tcPr>
          <w:p>
            <w:r>
              <w:t>+0,45%</w:t>
            </w:r>
          </w:p>
        </w:tc>
      </w:tr>
      <w:tr>
        <w:tc>
          <w:tcPr>
            <w:tcW w:type="dxa" w:w="2880"/>
          </w:tcPr>
          <w:p>
            <w:r>
              <w:t>Декабрь</w:t>
            </w:r>
          </w:p>
        </w:tc>
        <w:tc>
          <w:tcPr>
            <w:tcW w:type="dxa" w:w="2880"/>
          </w:tcPr>
          <w:p>
            <w:r>
              <w:t>100,50</w:t>
            </w:r>
          </w:p>
        </w:tc>
        <w:tc>
          <w:tcPr>
            <w:tcW w:type="dxa" w:w="2880"/>
          </w:tcPr>
          <w:p>
            <w:r>
              <w:t>+0,50%</w:t>
            </w:r>
          </w:p>
        </w:tc>
      </w:tr>
    </w:tbl>
    <w:p>
      <w:pPr/>
      <w:r>
        <w:t>Расчётный итог Dec/Dec 2026: 109,23. Октябрьская точка содержит действующий policy-профиль тарифов ОПР-формы; она не является повторением июльской индексации.</w:t>
      </w:r>
    </w:p>
    <w:p>
      <w:pPr>
        <w:pStyle w:val="Heading1"/>
      </w:pPr>
      <w:r>
        <w:t>Исторический контекст КБР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t>Месяц</w:t>
            </w:r>
          </w:p>
        </w:tc>
        <w:tc>
          <w:tcPr>
            <w:tcW w:type="dxa" w:w="1728"/>
            <w:shd w:fill="D9EAF7"/>
          </w:tcPr>
          <w:p>
            <w:r>
              <w:t>Минимум 2010–2025</w:t>
            </w:r>
          </w:p>
        </w:tc>
        <w:tc>
          <w:tcPr>
            <w:tcW w:type="dxa" w:w="1728"/>
            <w:shd w:fill="D9EAF7"/>
          </w:tcPr>
          <w:p>
            <w:r>
              <w:t>Максимум 2010–2025</w:t>
            </w:r>
          </w:p>
        </w:tc>
        <w:tc>
          <w:tcPr>
            <w:tcW w:type="dxa" w:w="1728"/>
            <w:shd w:fill="D9EAF7"/>
          </w:tcPr>
          <w:p>
            <w:r>
              <w:t>Среднее</w:t>
            </w:r>
          </w:p>
        </w:tc>
        <w:tc>
          <w:tcPr>
            <w:tcW w:type="dxa" w:w="1728"/>
            <w:shd w:fill="D9EAF7"/>
          </w:tcPr>
          <w:p>
            <w:r>
              <w:t>Медиана</w:t>
            </w:r>
          </w:p>
        </w:tc>
      </w:tr>
      <w:tr>
        <w:tc>
          <w:tcPr>
            <w:tcW w:type="dxa" w:w="1728"/>
          </w:tcPr>
          <w:p>
            <w:r>
              <w:t>Июль</w:t>
            </w:r>
          </w:p>
        </w:tc>
        <w:tc>
          <w:tcPr>
            <w:tcW w:type="dxa" w:w="1728"/>
          </w:tcPr>
          <w:p>
            <w:r>
              <w:t>−0,77% (2022)</w:t>
            </w:r>
          </w:p>
        </w:tc>
        <w:tc>
          <w:tcPr>
            <w:tcW w:type="dxa" w:w="1728"/>
          </w:tcPr>
          <w:p>
            <w:r>
              <w:t>+1,61% (2012)</w:t>
            </w:r>
          </w:p>
        </w:tc>
        <w:tc>
          <w:tcPr>
            <w:tcW w:type="dxa" w:w="1728"/>
          </w:tcPr>
          <w:p>
            <w:r>
              <w:t>+0,21%</w:t>
            </w:r>
          </w:p>
        </w:tc>
        <w:tc>
          <w:tcPr>
            <w:tcW w:type="dxa" w:w="1728"/>
          </w:tcPr>
          <w:p>
            <w:r>
              <w:t>+0,17%</w:t>
            </w:r>
          </w:p>
        </w:tc>
      </w:tr>
      <w:tr>
        <w:tc>
          <w:tcPr>
            <w:tcW w:type="dxa" w:w="1728"/>
          </w:tcPr>
          <w:p>
            <w:r>
              <w:t>Август</w:t>
            </w:r>
          </w:p>
        </w:tc>
        <w:tc>
          <w:tcPr>
            <w:tcW w:type="dxa" w:w="1728"/>
          </w:tcPr>
          <w:p>
            <w:r>
              <w:t>−0,57% (2022)</w:t>
            </w:r>
          </w:p>
        </w:tc>
        <w:tc>
          <w:tcPr>
            <w:tcW w:type="dxa" w:w="1728"/>
          </w:tcPr>
          <w:p>
            <w:r>
              <w:t>+0,48% (2010)</w:t>
            </w:r>
          </w:p>
        </w:tc>
        <w:tc>
          <w:tcPr>
            <w:tcW w:type="dxa" w:w="1728"/>
          </w:tcPr>
          <w:p>
            <w:r>
              <w:t>−0,04%</w:t>
            </w:r>
          </w:p>
        </w:tc>
        <w:tc>
          <w:tcPr>
            <w:tcW w:type="dxa" w:w="1728"/>
          </w:tcPr>
          <w:p>
            <w:r>
              <w:t>+0,02%</w:t>
            </w:r>
          </w:p>
        </w:tc>
      </w:tr>
    </w:tbl>
    <w:p>
      <w:r>
        <w:t>Текущие июльские и августовские риски выше обычной сезонности. Главная причина — топливо и возможный перенос его стоимости в другие цены.</w:t>
      </w:r>
    </w:p>
    <w:p>
      <w:pPr>
        <w:pStyle w:val="Heading1"/>
      </w:pPr>
      <w:r>
        <w:t>Фраза для доклада</w:t>
      </w:r>
    </w:p>
    <w:p>
      <w:r>
        <w:t>«Наиболее обоснованная рабочая оценка на июль — 101,40, или +1,40% к предыдущему месяцу. Рабочий KPI-коридор — 100,90–101,90. Отсутствие июльской индексации ЖКУ сдерживает инфляцию, а дорогой бензин и его перенос в стоимость доставки поддерживают риск вверх. Центральный ориентир на август — 100,50, или +0,50%; его пересмотр зависит от того, начнут ли цены топлива снижаться или продолжат расти относительно июля.»</w:t>
      </w:r>
    </w:p>
    <w:p>
      <w:r>
        <w:t>Источники: data/inflation_data.csv; data/precomputed_forecasts.json; data/Сравнение еженедельных цен_01.csv; archive/results/backtest_h1_predictions.csv; archive/results/july_2026_fuel_trajectory_20260713/.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