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Прогноз ИПЦ КБР до декабря 2027 года</w:t>
      </w:r>
    </w:p>
    <w:p>
      <w:r>
        <w:t>Дата расчёта: 28 сентября 2026 года. Последний официальный факт: август 2026. Все изменения м/м ниже — проценты к предыдущему месяцу, не индексы около 100.</w:t>
      </w:r>
    </w:p>
    <w:p>
      <w:pPr>
        <w:pStyle w:val="Heading2"/>
      </w:pPr>
      <w:r>
        <w:t>Решение</w:t>
      </w:r>
    </w:p>
    <w:p>
      <w:r>
        <w:t>Центральная оценка: сентябрь +0,60%, октябрь +1,33%, ноябрь +0,87%, декабрь +0,96%. Декабрь к декабрю: 9,12% в 2026 году, 6,96% в 2027 году. Это условный экспертный сценарий на основе пересчитанного действующего ансамбля, а не новая обученная модель. Предполагается отсутствие быстрого возврата топлива к весенним ценам, дополнительный перенос издержек осенью и постепенное ослабление инерции шока в 2027 году. Значение 4% не задавалось как обязательный конечный результат.</w:t>
      </w:r>
    </w:p>
    <w:p>
      <w:r>
        <w:t>Сценарии меньшего/большего давления дают декабрь 2026 8,10–10,32%, декабрь 2027 5,06–9,28%. Это условные траектории, не статистические доверительные интервалы. Полная помесячная таблица: forecast_2026_2027.csv (forecast_2026_2027.csv). Расчёты: forecast_calculations.xlsx (forecast_calculations.xlsx).</w:t>
      </w:r>
    </w:p>
    <w:p>
      <w:pPr>
        <w:pStyle w:val="Heading2"/>
      </w:pPr>
      <w:r>
        <w:t>Что изменилось в фактах</w:t>
      </w:r>
    </w:p>
    <w:p>
      <w:r>
        <w:t>data/inflation_data.csv: август +0,12%, продовольствие +0,06%, непродовольственные товары +0,63%, услуги −0,55%. С января по август накоплено +5,1176%. Августовский факт +0,12% и официальные 7,19% г/г подтверждены Банком России, 18.09.2026 (https://www.cbr.ru/press/reginfl/?id=69894). Произведение округлённых месячных индексов локального ряда даёт 7,2015% г/г: разница с опубликованными 7,19% сохранена явно. Прогнозные г/г рассчитаны цепным способом из локальных месячных индексов; опубликованный факт г/г не переписан.</w:t>
      </w:r>
    </w:p>
    <w:p>
      <w:r>
        <w:t>Из нового workbook data/raw/2026-08 ИПЦ с исключением сезонности (регионы).xlsx полностью заменён SA-vintage за январь 2016 — август 2026; 8278 числовых значений КБР сверены с листом db, расхождений нет. SA общего ИПЦ: июнь +1,26%, июль +1,34%, август +0,80%; август продовольствие +1,32%, непродовольствие +0,44%, услуги +0,36%. SA нужен для оценки давления, его нельзя складывать с сезонным RAW-прогнозом. Августовские +0,80% SA соответствуют примерно 10,0% в годовом пересчёте, но это темп одного месяца, не прогноз годовой инфляции. Пересмотренный SA не является историческим real-time vintage и не использовался для переоценки августовского победителя.</w:t>
      </w:r>
    </w:p>
    <w:p>
      <w:r>
        <w:t>Проверена публичная папка Access (https://disk.yandex.ru/d/i6czrcdNO0I7BQ): выпуск опубликован 14.09.2026, последний RAW-факт — август. База и архив загружены, хеши сохранены, четыре агрегата за 200 месяцев сверены с пользовательским CSV (максимальные расхождения менее 0,00001 индексного пункта). Обновлены micro, subcomponent, веса и региональная выгрузка; исходные пропуски сохранены. Наблюдается 538 из 540 позиций, 99,391% веса. Источник и хеши: data/access_source_manifest.json, data/sa_source_manifest.json.</w:t>
      </w:r>
    </w:p>
    <w:p>
      <w:r>
        <w:t>Август в Access: плодоовощи −7,51%; моторное топливо +1,14%; бензин +1,28%, АИ-92 +0,53%, АИ-95 +1,47%; дизель −2,03%. Поэтому слабый headline нельзя трактовать как устойчивое снижение топлива. Суммарное подорожание моторного топлива в июне–июле было около 42,5%; в августе этот высокий уровень не исчез. Новый скачок того же размера в прогноз не повторяется.</w:t>
      </w:r>
    </w:p>
    <w:p>
      <w:pPr>
        <w:pStyle w:val="Heading2"/>
      </w:pPr>
      <w:r>
        <w:t>Проверка прошлых предпосылок</w:t>
      </w:r>
    </w:p>
    <w:p>
      <w:r>
        <w:t>Подробные первичные свидетельства и commit hashes: prior_forecast_audit.md (prior_forecast_audit.md).</w:t>
      </w:r>
    </w:p>
    <w:p>
      <w:r>
        <w:t>1. Сильная летняя продовольственная дефляция. Ранний пакет ожидал май −0,710%, июнь −0,199%, июль −0,133% по общему ИПЦ. Факты +0,09%, +1,06%, +0,82%: отклонения примерно +0,800, +1,259, +0,953 п.п. Майская гипотеза оказалась слишком сильной, а июнь–июль были существенно нарушены топливным шоком. Сохранять такой старый пакет как действующий нельзя.</w:t>
      </w:r>
    </w:p>
    <w:p>
      <w:r>
        <w:t>2. Топливный шок и отсутствие двойного счёта. Июльская записка (commit 38deba9) правильно выделила топливо и отказалась повторять июньский прямой вклад в августе. Но июльский центральный +1,40% превысил факт +0,82% на 0,58 п.п.; августовские +0,50% превысили факт +0,12% на 0,38 п.п. Временное снижение недельных цен не означало месячного удешевления бензина и не доказывает будущего быстрого отката.</w:t>
      </w:r>
    </w:p>
    <w:p>
      <w:r>
        <w:t>3. Августовская сезонность. Предположение о слабом августе по направлению было разумным: плодоовощи и услуги сдерживали ИПЦ. Но центральные +0,50% и нижняя граница +0,20% оказались высокими. Сезонную дефляцию недооценили, а агрегатные модели переоценили устойчивость краткосрочного headline.</w:t>
      </w:r>
    </w:p>
    <w:p>
      <w:r>
        <w:t>4. Предварительные сообщения. 1 сентября августовый якорь заменили на 0,00%, 8 сентября в policy JSON он снова стал +0,50% по пользовательскому уточнению. Ни один из них не официальный факт; окончательное +0,12% заменяет оба.</w:t>
      </w:r>
    </w:p>
    <w:p>
      <w:r>
        <w:t>5. Тарифы. Перенос основного коммунального повышения с июля на октябрь согласуется с нулевым ростом коммунального агрегата в июле–августе. Однако старое умножение 10% на вес всех услуг 23,76% экономически некорректно. Даже жилищно-коммунальный агрегат 8,898% включает аренду и жилищные услуги, которые нельзя автоматически индексировать как коммунальные.</w:t>
      </w:r>
    </w:p>
    <w:p>
      <w:r>
        <w:t>6. 2027 год. Старые файлы противоречили друг другу: полный пакет механически приближал декабрь к 4,02%, августовский инерционный сценарий давал 7,14%. Возврат к 4% не подтверждён самими региональными моделями; это лишь более благоприятная макроэкономическая гипотеза. В старой августовской книге перенос тарифов на октябрь 2027 также был предположением, а не установленным календарём.</w:t>
      </w:r>
    </w:p>
    <w:p>
      <w:pPr>
        <w:pStyle w:val="Heading2"/>
      </w:pPr>
      <w:r>
        <w:t>Какая модель была ближе к августу</w:t>
      </w:r>
    </w:p>
    <w:p>
      <w:r>
        <w:t>Сравниваются сохранённые 17 августа прогнозы, а не модели, заново обученные после публикации августа. Книга: archive/results/aug_2026_update/SIRENA_прогноз_КБР_2026-2027.xlsx.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Модель</w:t>
            </w:r>
          </w:p>
        </w:tc>
        <w:tc>
          <w:tcPr>
            <w:tcW w:type="dxa" w:w="2880"/>
          </w:tcPr>
          <w:p>
            <w:r>
              <w:t>Август, % м/м</w:t>
            </w:r>
          </w:p>
        </w:tc>
        <w:tc>
          <w:tcPr>
            <w:tcW w:type="dxa" w:w="2880"/>
          </w:tcPr>
          <w:p>
            <w:r>
              <w:t>Абсолютная ошибка, п.п.</w:t>
            </w:r>
          </w:p>
        </w:tc>
      </w:tr>
      <w:tr>
        <w:tc>
          <w:tcPr>
            <w:tcW w:type="dxa" w:w="2880"/>
          </w:tcPr>
          <w:p>
            <w:r>
              <w:t>Micro</w:t>
            </w:r>
          </w:p>
        </w:tc>
        <w:tc>
          <w:tcPr>
            <w:tcW w:type="dxa" w:w="2880"/>
          </w:tcPr>
          <w:p>
            <w:r>
              <w:t>0,094</w:t>
            </w:r>
          </w:p>
        </w:tc>
        <w:tc>
          <w:tcPr>
            <w:tcW w:type="dxa" w:w="2880"/>
          </w:tcPr>
          <w:p>
            <w:r>
              <w:t>0,026</w:t>
            </w:r>
          </w:p>
        </w:tc>
      </w:tr>
      <w:tr>
        <w:tc>
          <w:tcPr>
            <w:tcW w:type="dxa" w:w="2880"/>
          </w:tcPr>
          <w:p>
            <w:r>
              <w:t>Prophet</w:t>
            </w:r>
          </w:p>
        </w:tc>
        <w:tc>
          <w:tcPr>
            <w:tcW w:type="dxa" w:w="2880"/>
          </w:tcPr>
          <w:p>
            <w:r>
              <w:t>0,313</w:t>
            </w:r>
          </w:p>
        </w:tc>
        <w:tc>
          <w:tcPr>
            <w:tcW w:type="dxa" w:w="2880"/>
          </w:tcPr>
          <w:p>
            <w:r>
              <w:t>0,193</w:t>
            </w:r>
          </w:p>
        </w:tc>
      </w:tr>
      <w:tr>
        <w:tc>
          <w:tcPr>
            <w:tcW w:type="dxa" w:w="2880"/>
          </w:tcPr>
          <w:p>
            <w:r>
              <w:t>FactorPolicy</w:t>
            </w:r>
          </w:p>
        </w:tc>
        <w:tc>
          <w:tcPr>
            <w:tcW w:type="dxa" w:w="2880"/>
          </w:tcPr>
          <w:p>
            <w:r>
              <w:t>0,416</w:t>
            </w:r>
          </w:p>
        </w:tc>
        <w:tc>
          <w:tcPr>
            <w:tcW w:type="dxa" w:w="2880"/>
          </w:tcPr>
          <w:p>
            <w:r>
              <w:t>0,296</w:t>
            </w:r>
          </w:p>
        </w:tc>
      </w:tr>
      <w:tr>
        <w:tc>
          <w:tcPr>
            <w:tcW w:type="dxa" w:w="2880"/>
          </w:tcPr>
          <w:p>
            <w:r>
              <w:t>NGBoostShock</w:t>
            </w:r>
          </w:p>
        </w:tc>
        <w:tc>
          <w:tcPr>
            <w:tcW w:type="dxa" w:w="2880"/>
          </w:tcPr>
          <w:p>
            <w:r>
              <w:t>0,417</w:t>
            </w:r>
          </w:p>
        </w:tc>
        <w:tc>
          <w:tcPr>
            <w:tcW w:type="dxa" w:w="2880"/>
          </w:tcPr>
          <w:p>
            <w:r>
              <w:t>0,297</w:t>
            </w:r>
          </w:p>
        </w:tc>
      </w:tr>
      <w:tr>
        <w:tc>
          <w:tcPr>
            <w:tcW w:type="dxa" w:w="2880"/>
          </w:tcPr>
          <w:p>
            <w:r>
              <w:t>Ensemble</w:t>
            </w:r>
          </w:p>
        </w:tc>
        <w:tc>
          <w:tcPr>
            <w:tcW w:type="dxa" w:w="2880"/>
          </w:tcPr>
          <w:p>
            <w:r>
              <w:t>0,496</w:t>
            </w:r>
          </w:p>
        </w:tc>
        <w:tc>
          <w:tcPr>
            <w:tcW w:type="dxa" w:w="2880"/>
          </w:tcPr>
          <w:p>
            <w:r>
              <w:t>0,376</w:t>
            </w:r>
          </w:p>
        </w:tc>
      </w:tr>
    </w:tbl>
    <w:p>
      <w:r>
        <w:t>Micro лучше поймала сочетание разнонаправленных товарных движений. Однако это один месяц: вес модели в production-ансамбле не увеличен. Более того, реализация Micro менялась в сентябре, поэтому нынешняя Micro и архивная августовская версия не тождественны. Сравнение всех сохранённых значений приложено в CSV. Пересчитанная сегодняшняя Micro даёт сентябрь +0,20%, октябрь +0,41%, ноябрь +0,64%; её более низкая траектория учтена как аргумент против безусловного сохранения летней инерции, но не как доказательство точности на 2027 год.</w:t>
      </w:r>
    </w:p>
    <w:p>
      <w:pPr>
        <w:pStyle w:val="Heading2"/>
      </w:pPr>
      <w:r>
        <w:t>Октябрь и ноябрь: прозрачный расчёт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Составляющая, п.п.</w:t>
            </w:r>
          </w:p>
        </w:tc>
        <w:tc>
          <w:tcPr>
            <w:tcW w:type="dxa" w:w="2880"/>
          </w:tcPr>
          <w:p>
            <w:r>
              <w:t>Октябрь</w:t>
            </w:r>
          </w:p>
        </w:tc>
        <w:tc>
          <w:tcPr>
            <w:tcW w:type="dxa" w:w="2880"/>
          </w:tcPr>
          <w:p>
            <w:r>
              <w:t>Ноябрь</w:t>
            </w:r>
          </w:p>
        </w:tc>
      </w:tr>
      <w:tr>
        <w:tc>
          <w:tcPr>
            <w:tcW w:type="dxa" w:w="2880"/>
          </w:tcPr>
          <w:p>
            <w:r>
              <w:t>Действующий ансамбль на августовских фактах</w:t>
            </w:r>
          </w:p>
        </w:tc>
        <w:tc>
          <w:tcPr>
            <w:tcW w:type="dxa" w:w="2880"/>
          </w:tcPr>
          <w:p>
            <w:r>
              <w:t>0,58675</w:t>
            </w:r>
          </w:p>
        </w:tc>
        <w:tc>
          <w:tcPr>
            <w:tcW w:type="dxa" w:w="2880"/>
          </w:tcPr>
          <w:p>
            <w:r>
              <w:t>0,77275</w:t>
            </w:r>
          </w:p>
        </w:tc>
      </w:tr>
      <w:tr>
        <w:tc>
          <w:tcPr>
            <w:tcW w:type="dxa" w:w="2880"/>
          </w:tcPr>
          <w:p>
            <w:r>
              <w:t>Дополнительный прямой коммунальный тариф</w:t>
            </w:r>
          </w:p>
        </w:tc>
        <w:tc>
          <w:tcPr>
            <w:tcW w:type="dxa" w:w="2880"/>
          </w:tcPr>
          <w:p>
            <w:r>
              <w:t>0,59580</w:t>
            </w:r>
          </w:p>
        </w:tc>
        <w:tc>
          <w:tcPr>
            <w:tcW w:type="dxa" w:w="2880"/>
          </w:tcPr>
          <w:p>
            <w:r>
              <w:t>0,00000</w:t>
            </w:r>
          </w:p>
        </w:tc>
      </w:tr>
      <w:tr>
        <w:tc>
          <w:tcPr>
            <w:tcW w:type="dxa" w:w="2880"/>
          </w:tcPr>
          <w:p>
            <w:r>
              <w:t>Дополнительный перенос издержек сверх baseline</w:t>
            </w:r>
          </w:p>
        </w:tc>
        <w:tc>
          <w:tcPr>
            <w:tcW w:type="dxa" w:w="2880"/>
          </w:tcPr>
          <w:p>
            <w:r>
              <w:t>0,15000</w:t>
            </w:r>
          </w:p>
        </w:tc>
        <w:tc>
          <w:tcPr>
            <w:tcW w:type="dxa" w:w="2880"/>
          </w:tcPr>
          <w:p>
            <w:r>
              <w:t>0,10000</w:t>
            </w:r>
          </w:p>
        </w:tc>
      </w:tr>
      <w:tr>
        <w:tc>
          <w:tcPr>
            <w:tcW w:type="dxa" w:w="2880"/>
          </w:tcPr>
          <w:p>
            <w:r>
              <w:t>Итог до округления</w:t>
            </w:r>
          </w:p>
        </w:tc>
        <w:tc>
          <w:tcPr>
            <w:tcW w:type="dxa" w:w="2880"/>
          </w:tcPr>
          <w:p>
            <w:r>
              <w:t>1,33255</w:t>
            </w:r>
          </w:p>
        </w:tc>
        <w:tc>
          <w:tcPr>
            <w:tcW w:type="dxa" w:w="2880"/>
          </w:tcPr>
          <w:p>
            <w:r>
              <w:t>0,87275</w:t>
            </w:r>
          </w:p>
        </w:tc>
      </w:tr>
      <w:tr>
        <w:tc>
          <w:tcPr>
            <w:tcW w:type="dxa" w:w="2880"/>
          </w:tcPr>
          <w:p>
            <w:r>
              <w:t>Центральный прогноз</w:t>
            </w:r>
          </w:p>
        </w:tc>
        <w:tc>
          <w:tcPr>
            <w:tcW w:type="dxa" w:w="2880"/>
          </w:tcPr>
          <w:p>
            <w:r>
              <w:t>1,33</w:t>
            </w:r>
          </w:p>
        </w:tc>
        <w:tc>
          <w:tcPr>
            <w:tcW w:type="dxa" w:w="2880"/>
          </w:tcPr>
          <w:p>
            <w:r>
              <w:t>0,87</w:t>
            </w:r>
          </w:p>
        </w:tc>
      </w:tr>
      <w:tr>
        <w:tc>
          <w:tcPr>
            <w:tcW w:type="dxa" w:w="2880"/>
          </w:tcPr>
          <w:p>
            <w:r>
              <w:t>Сценарии меньшего/большего давления</w:t>
            </w:r>
          </w:p>
        </w:tc>
        <w:tc>
          <w:tcPr>
            <w:tcW w:type="dxa" w:w="2880"/>
          </w:tcPr>
          <w:p>
            <w:r>
              <w:t>1,08–1,68</w:t>
            </w:r>
          </w:p>
        </w:tc>
        <w:tc>
          <w:tcPr>
            <w:tcW w:type="dxa" w:w="2880"/>
          </w:tcPr>
          <w:p>
            <w:r>
              <w:t>0,62–1,17</w:t>
            </w:r>
          </w:p>
        </w:tc>
      </w:tr>
    </w:tbl>
    <w:p>
      <w:r>
        <w:t>Вес коммунальных услуг КБР за 2026 год: Item_code=279, Weight_vertical=0.05958. Прямой вклад при росте на 10%: 0,05958 × 10 = 0,5958 п.п. Это приближение по фиксированным годовым весам, а не точная реплика индексной методологии Росстата. Вес всех услуг 0,23763 здесь не применяется. Каждый дополнительный процентный пункт коммунального повышения меняет общий ИПЦ приблизительно на 0,05958 п.п.</w:t>
      </w:r>
    </w:p>
    <w:p>
      <w:r>
        <w:t>Ноябрь не содержит повторных +0,60 п.п.: октябрьское повышение остаётся в уровне цен и г/г, но его прямой месячный вклад исчерпан. Ноябрьские +0,10 п.п. — сценарное допущение о дальнейшем пересмотре прайс-листов, перевозок и услуг. В октябре +0,15 п.п. включает усиление издержек на топливо и коммунальные ресурсы предприятий. Эти коэффициенты не оценены как причинный эффект; текущие модели уже содержат часть передачи шока, поэтому надбавки относятся только к дополнительному давлению. Нулевой дополнительный перенос снизил бы октябрь до 1,18%, ноябрь до 0,77%. Проблемы НПЗ приняты как условие пользователя, не выданы за измеренный объём выпавших мощностей. Нет модели, позволяющей надёжно оценить такой объём по имеющимся данным.</w:t>
      </w:r>
    </w:p>
    <w:p>
      <w:pPr>
        <w:pStyle w:val="Heading2"/>
      </w:pPr>
      <w:r>
        <w:t>2027: условия и чувствительность</w:t>
      </w:r>
    </w:p>
    <w:p>
      <w:r>
        <w:t>Центральный сценарий сохраняет сезонность ансамбля, но снижает месячный прирост относительно его инерционной траектории на 0,10 п.п. в январе, постепенно до 0,22 п.п. в декабре. Это явное экспертное предположение о затухании летнего шока и ограничении спроса, а не оценённый коэффициент монетарной политики. Дополнительный перенос издержек составляет +0,04/+0,03/+0,02 п.п. в январе–марте, затем равен нулю; высокий уровень цен при этом сохраняется.</w:t>
      </w:r>
    </w:p>
    <w:p>
      <w:r>
        <w:t>Индексация коммунальных услуг на 11% в июле 2027 взята как сценарный ориентир из опубликованного 24 сентября сообщения о новом прогнозе Минэкономразвития: сообщение со ссылкой на документ (https://t-j.ru/news/tarify-11-percent-2027/). Сайт первичного документа вернул 403 при независимой загрузке. Точный приказ КБР на 2027 не проверен; 11% и июль не представлены как утверждённый региональный тариф. Для 2026 сохранено прямо заданное пользователем условие около 10% в октябре.</w:t>
      </w:r>
    </w:p>
    <w:p>
      <w:r>
        <w:t>Чтобы не прибавлять новую индексацию поверх уже имеющейся июльской сезонности, из baseline вычитается приближение исторического коммунального импульса: медианный рост коммунального агрегата в июле 2016–2025, 3,215%, умноженный на нынешний вес. Затем добавляется 11% × 0,05958. Чистая поправка +0,46383 п.п. Это оценка, а не идентифицированный вклад каждого ML-моделя: чувствительность к удаляемому импульсу приведена в tariff_sensitivity.csv. Веса 2027 ещё неизвестны, поэтому фиксируются веса 2026; изменение календаря индексации требует нового помесячного расчёта.</w:t>
      </w:r>
    </w:p>
    <w:p>
      <w:r>
        <w:t>Без экспертного ослабления инерции прогноз 2027 заметно выше центрального: сам неизменённый ансамбль даёт +8,40% за год ещё до чистой тарифной поправки. Сценарий большего давления допускает отсутствие ожидаемого затухания и новые топливные/валютные ограничения. Нижний сценарий требует устойчивого улучшения предложения и более слабого переноса, а не просто одного дешёвого месяца овощей.</w:t>
      </w:r>
    </w:p>
    <w:p>
      <w:pPr>
        <w:pStyle w:val="Heading2"/>
      </w:pPr>
      <w:r>
        <w:t>Проверки и границы результата</w:t>
      </w:r>
    </w:p>
    <w:p>
      <w:r>
        <w:t>diagnostics.csv: 200 месяцев RAW, без разрыва четырёх агрегатов; ADF отвергает единичный корень (для услуг p≈0,018), KPSS не отвергает стационарность на 5%. Сезонность заметна у общего ИПЦ, еды и услуг; автокорреляция существенна. Это диагностика рядов, не сертификация остатков всех моделей. Новые модели, гиперпараметры и веса ансамбля не вводились; новый полный h=1/h=2/h=12 backtest не заявляется. Историческая оценка августа основана на сохранённых прогнозах.</w:t>
      </w:r>
    </w:p>
    <w:p>
      <w:r>
        <w:t>Живой прогноз рассчитан существующим compute_all_forecasts(horizon=16) через общий RAW loader до августа. Auxiliary Ridge_ProdProxy и Micro_SM не входят в центральный ансамбль; причины недоступности/обновления указаны в манифесте и проверочном отчёте. Сентябрьская старая weekly-оценка не использована в экспертной траектории: последние локальные недели не доказывают свежесть сентября.</w:t>
      </w:r>
    </w:p>
    <w:p>
      <w:r>
        <w:t>До нового выпуска пересматривать сценарий следует при подтверждении фактической октябрьской индексации, выходе сентября и появлении нескольких последовательных недель снижения бензина. Разовое снижение дизеля или сезонных овощей само по себе не служит основанием убрать перенос издержек.</w:t>
      </w:r>
    </w:p>
    <w:p>
      <w:r>
        <w:t>Воспроизведение, ограничения визуальной проверки и контроль формул: verification_report.md (verification_report.md).</w:t>
      </w:r>
    </w:p>
    <w:p>
      <w:pPr>
        <w:pStyle w:val="Heading1"/>
      </w:pPr>
      <w:r>
        <w:t>Помесячная траектория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Месяц</w:t>
            </w:r>
          </w:p>
        </w:tc>
        <w:tc>
          <w:tcPr>
            <w:tcW w:type="dxa" w:w="2160"/>
          </w:tcPr>
          <w:p>
            <w:r>
              <w:t>Статус</w:t>
            </w:r>
          </w:p>
        </w:tc>
        <w:tc>
          <w:tcPr>
            <w:tcW w:type="dxa" w:w="2160"/>
          </w:tcPr>
          <w:p>
            <w:r>
              <w:t>ИПЦ м/м, индекс</w:t>
            </w:r>
          </w:p>
        </w:tc>
        <w:tc>
          <w:tcPr>
            <w:tcW w:type="dxa" w:w="2160"/>
          </w:tcPr>
          <w:p>
            <w:r>
              <w:t>Прирост г/г, %</w:t>
            </w:r>
          </w:p>
        </w:tc>
      </w:tr>
      <w:tr>
        <w:tc>
          <w:tcPr>
            <w:tcW w:type="dxa" w:w="2160"/>
          </w:tcPr>
          <w:p>
            <w:r>
              <w:t>2026-01</w:t>
            </w:r>
          </w:p>
        </w:tc>
        <w:tc>
          <w:tcPr>
            <w:tcW w:type="dxa" w:w="2160"/>
          </w:tcPr>
          <w:p>
            <w:r>
              <w:t>Факт</w:t>
            </w:r>
          </w:p>
        </w:tc>
        <w:tc>
          <w:tcPr>
            <w:tcW w:type="dxa" w:w="2160"/>
          </w:tcPr>
          <w:p>
            <w:r>
              <w:t>101.57</w:t>
            </w:r>
          </w:p>
        </w:tc>
        <w:tc>
          <w:tcPr>
            <w:tcW w:type="dxa" w:w="2160"/>
          </w:tcPr>
          <w:p>
            <w:r>
              <w:t>6.04</w:t>
            </w:r>
          </w:p>
        </w:tc>
      </w:tr>
      <w:tr>
        <w:tc>
          <w:tcPr>
            <w:tcW w:type="dxa" w:w="2160"/>
          </w:tcPr>
          <w:p>
            <w:r>
              <w:t>2026-02</w:t>
            </w:r>
          </w:p>
        </w:tc>
        <w:tc>
          <w:tcPr>
            <w:tcW w:type="dxa" w:w="2160"/>
          </w:tcPr>
          <w:p>
            <w:r>
              <w:t>Факт</w:t>
            </w:r>
          </w:p>
        </w:tc>
        <w:tc>
          <w:tcPr>
            <w:tcW w:type="dxa" w:w="2160"/>
          </w:tcPr>
          <w:p>
            <w:r>
              <w:t>101.10</w:t>
            </w:r>
          </w:p>
        </w:tc>
        <w:tc>
          <w:tcPr>
            <w:tcW w:type="dxa" w:w="2160"/>
          </w:tcPr>
          <w:p>
            <w:r>
              <w:t>5.79</w:t>
            </w:r>
          </w:p>
        </w:tc>
      </w:tr>
      <w:tr>
        <w:tc>
          <w:tcPr>
            <w:tcW w:type="dxa" w:w="2160"/>
          </w:tcPr>
          <w:p>
            <w:r>
              <w:t>2026-03</w:t>
            </w:r>
          </w:p>
        </w:tc>
        <w:tc>
          <w:tcPr>
            <w:tcW w:type="dxa" w:w="2160"/>
          </w:tcPr>
          <w:p>
            <w:r>
              <w:t>Факт</w:t>
            </w:r>
          </w:p>
        </w:tc>
        <w:tc>
          <w:tcPr>
            <w:tcW w:type="dxa" w:w="2160"/>
          </w:tcPr>
          <w:p>
            <w:r>
              <w:t>100.54</w:t>
            </w:r>
          </w:p>
        </w:tc>
        <w:tc>
          <w:tcPr>
            <w:tcW w:type="dxa" w:w="2160"/>
          </w:tcPr>
          <w:p>
            <w:r>
              <w:t>5.51</w:t>
            </w:r>
          </w:p>
        </w:tc>
      </w:tr>
      <w:tr>
        <w:tc>
          <w:tcPr>
            <w:tcW w:type="dxa" w:w="2160"/>
          </w:tcPr>
          <w:p>
            <w:r>
              <w:t>2026-04</w:t>
            </w:r>
          </w:p>
        </w:tc>
        <w:tc>
          <w:tcPr>
            <w:tcW w:type="dxa" w:w="2160"/>
          </w:tcPr>
          <w:p>
            <w:r>
              <w:t>Факт</w:t>
            </w:r>
          </w:p>
        </w:tc>
        <w:tc>
          <w:tcPr>
            <w:tcW w:type="dxa" w:w="2160"/>
          </w:tcPr>
          <w:p>
            <w:r>
              <w:t>99.72</w:t>
            </w:r>
          </w:p>
        </w:tc>
        <w:tc>
          <w:tcPr>
            <w:tcW w:type="dxa" w:w="2160"/>
          </w:tcPr>
          <w:p>
            <w:r>
              <w:t>4.66</w:t>
            </w:r>
          </w:p>
        </w:tc>
      </w:tr>
      <w:tr>
        <w:tc>
          <w:tcPr>
            <w:tcW w:type="dxa" w:w="2160"/>
          </w:tcPr>
          <w:p>
            <w:r>
              <w:t>2026-05</w:t>
            </w:r>
          </w:p>
        </w:tc>
        <w:tc>
          <w:tcPr>
            <w:tcW w:type="dxa" w:w="2160"/>
          </w:tcPr>
          <w:p>
            <w:r>
              <w:t>Факт</w:t>
            </w:r>
          </w:p>
        </w:tc>
        <w:tc>
          <w:tcPr>
            <w:tcW w:type="dxa" w:w="2160"/>
          </w:tcPr>
          <w:p>
            <w:r>
              <w:t>100.09</w:t>
            </w:r>
          </w:p>
        </w:tc>
        <w:tc>
          <w:tcPr>
            <w:tcW w:type="dxa" w:w="2160"/>
          </w:tcPr>
          <w:p>
            <w:r>
              <w:t>4.82</w:t>
            </w:r>
          </w:p>
        </w:tc>
      </w:tr>
      <w:tr>
        <w:tc>
          <w:tcPr>
            <w:tcW w:type="dxa" w:w="2160"/>
          </w:tcPr>
          <w:p>
            <w:r>
              <w:t>2026-06</w:t>
            </w:r>
          </w:p>
        </w:tc>
        <w:tc>
          <w:tcPr>
            <w:tcW w:type="dxa" w:w="2160"/>
          </w:tcPr>
          <w:p>
            <w:r>
              <w:t>Факт</w:t>
            </w:r>
          </w:p>
        </w:tc>
        <w:tc>
          <w:tcPr>
            <w:tcW w:type="dxa" w:w="2160"/>
          </w:tcPr>
          <w:p>
            <w:r>
              <w:t>101.06</w:t>
            </w:r>
          </w:p>
        </w:tc>
        <w:tc>
          <w:tcPr>
            <w:tcW w:type="dxa" w:w="2160"/>
          </w:tcPr>
          <w:p>
            <w:r>
              <w:t>5.98</w:t>
            </w:r>
          </w:p>
        </w:tc>
      </w:tr>
      <w:tr>
        <w:tc>
          <w:tcPr>
            <w:tcW w:type="dxa" w:w="2160"/>
          </w:tcPr>
          <w:p>
            <w:r>
              <w:t>2026-07</w:t>
            </w:r>
          </w:p>
        </w:tc>
        <w:tc>
          <w:tcPr>
            <w:tcW w:type="dxa" w:w="2160"/>
          </w:tcPr>
          <w:p>
            <w:r>
              <w:t>Факт</w:t>
            </w:r>
          </w:p>
        </w:tc>
        <w:tc>
          <w:tcPr>
            <w:tcW w:type="dxa" w:w="2160"/>
          </w:tcPr>
          <w:p>
            <w:r>
              <w:t>100.82</w:t>
            </w:r>
          </w:p>
        </w:tc>
        <w:tc>
          <w:tcPr>
            <w:tcW w:type="dxa" w:w="2160"/>
          </w:tcPr>
          <w:p>
            <w:r>
              <w:t>6.46</w:t>
            </w:r>
          </w:p>
        </w:tc>
      </w:tr>
      <w:tr>
        <w:tc>
          <w:tcPr>
            <w:tcW w:type="dxa" w:w="2160"/>
          </w:tcPr>
          <w:p>
            <w:r>
              <w:t>2026-08</w:t>
            </w:r>
          </w:p>
        </w:tc>
        <w:tc>
          <w:tcPr>
            <w:tcW w:type="dxa" w:w="2160"/>
          </w:tcPr>
          <w:p>
            <w:r>
              <w:t>Факт</w:t>
            </w:r>
          </w:p>
        </w:tc>
        <w:tc>
          <w:tcPr>
            <w:tcW w:type="dxa" w:w="2160"/>
          </w:tcPr>
          <w:p>
            <w:r>
              <w:t>100.12</w:t>
            </w:r>
          </w:p>
        </w:tc>
        <w:tc>
          <w:tcPr>
            <w:tcW w:type="dxa" w:w="2160"/>
          </w:tcPr>
          <w:p>
            <w:r>
              <w:t>7.20</w:t>
            </w:r>
          </w:p>
        </w:tc>
      </w:tr>
      <w:tr>
        <w:tc>
          <w:tcPr>
            <w:tcW w:type="dxa" w:w="2160"/>
          </w:tcPr>
          <w:p>
            <w:r>
              <w:t>2026-09</w:t>
            </w:r>
          </w:p>
        </w:tc>
        <w:tc>
          <w:tcPr>
            <w:tcW w:type="dxa" w:w="2160"/>
          </w:tcPr>
          <w:p>
            <w:r>
              <w:t>Прогноз</w:t>
            </w:r>
          </w:p>
        </w:tc>
        <w:tc>
          <w:tcPr>
            <w:tcW w:type="dxa" w:w="2160"/>
          </w:tcPr>
          <w:p>
            <w:r>
              <w:t>100.60</w:t>
            </w:r>
          </w:p>
        </w:tc>
        <w:tc>
          <w:tcPr>
            <w:tcW w:type="dxa" w:w="2160"/>
          </w:tcPr>
          <w:p>
            <w:r>
              <w:t>6.78</w:t>
            </w:r>
          </w:p>
        </w:tc>
      </w:tr>
      <w:tr>
        <w:tc>
          <w:tcPr>
            <w:tcW w:type="dxa" w:w="2160"/>
          </w:tcPr>
          <w:p>
            <w:r>
              <w:t>2026-10</w:t>
            </w:r>
          </w:p>
        </w:tc>
        <w:tc>
          <w:tcPr>
            <w:tcW w:type="dxa" w:w="2160"/>
          </w:tcPr>
          <w:p>
            <w:r>
              <w:t>Прогноз</w:t>
            </w:r>
          </w:p>
        </w:tc>
        <w:tc>
          <w:tcPr>
            <w:tcW w:type="dxa" w:w="2160"/>
          </w:tcPr>
          <w:p>
            <w:r>
              <w:t>101.33</w:t>
            </w:r>
          </w:p>
        </w:tc>
        <w:tc>
          <w:tcPr>
            <w:tcW w:type="dxa" w:w="2160"/>
          </w:tcPr>
          <w:p>
            <w:r>
              <w:t>7.63</w:t>
            </w:r>
          </w:p>
        </w:tc>
      </w:tr>
      <w:tr>
        <w:tc>
          <w:tcPr>
            <w:tcW w:type="dxa" w:w="2160"/>
          </w:tcPr>
          <w:p>
            <w:r>
              <w:t>2026-11</w:t>
            </w:r>
          </w:p>
        </w:tc>
        <w:tc>
          <w:tcPr>
            <w:tcW w:type="dxa" w:w="2160"/>
          </w:tcPr>
          <w:p>
            <w:r>
              <w:t>Прогноз</w:t>
            </w:r>
          </w:p>
        </w:tc>
        <w:tc>
          <w:tcPr>
            <w:tcW w:type="dxa" w:w="2160"/>
          </w:tcPr>
          <w:p>
            <w:r>
              <w:t>100.87</w:t>
            </w:r>
          </w:p>
        </w:tc>
        <w:tc>
          <w:tcPr>
            <w:tcW w:type="dxa" w:w="2160"/>
          </w:tcPr>
          <w:p>
            <w:r>
              <w:t>8.40</w:t>
            </w:r>
          </w:p>
        </w:tc>
      </w:tr>
      <w:tr>
        <w:tc>
          <w:tcPr>
            <w:tcW w:type="dxa" w:w="2160"/>
          </w:tcPr>
          <w:p>
            <w:r>
              <w:t>2026-12</w:t>
            </w:r>
          </w:p>
        </w:tc>
        <w:tc>
          <w:tcPr>
            <w:tcW w:type="dxa" w:w="2160"/>
          </w:tcPr>
          <w:p>
            <w:r>
              <w:t>Прогноз</w:t>
            </w:r>
          </w:p>
        </w:tc>
        <w:tc>
          <w:tcPr>
            <w:tcW w:type="dxa" w:w="2160"/>
          </w:tcPr>
          <w:p>
            <w:r>
              <w:t>100.96</w:t>
            </w:r>
          </w:p>
        </w:tc>
        <w:tc>
          <w:tcPr>
            <w:tcW w:type="dxa" w:w="2160"/>
          </w:tcPr>
          <w:p>
            <w:r>
              <w:t>9.12</w:t>
            </w:r>
          </w:p>
        </w:tc>
      </w:tr>
      <w:tr>
        <w:tc>
          <w:tcPr>
            <w:tcW w:type="dxa" w:w="2160"/>
          </w:tcPr>
          <w:p>
            <w:r>
              <w:t>2027-01</w:t>
            </w:r>
          </w:p>
        </w:tc>
        <w:tc>
          <w:tcPr>
            <w:tcW w:type="dxa" w:w="2160"/>
          </w:tcPr>
          <w:p>
            <w:r>
              <w:t>Прогноз</w:t>
            </w:r>
          </w:p>
        </w:tc>
        <w:tc>
          <w:tcPr>
            <w:tcW w:type="dxa" w:w="2160"/>
          </w:tcPr>
          <w:p>
            <w:r>
              <w:t>100.99</w:t>
            </w:r>
          </w:p>
        </w:tc>
        <w:tc>
          <w:tcPr>
            <w:tcW w:type="dxa" w:w="2160"/>
          </w:tcPr>
          <w:p>
            <w:r>
              <w:t>8.50</w:t>
            </w:r>
          </w:p>
        </w:tc>
      </w:tr>
      <w:tr>
        <w:tc>
          <w:tcPr>
            <w:tcW w:type="dxa" w:w="2160"/>
          </w:tcPr>
          <w:p>
            <w:r>
              <w:t>2027-02</w:t>
            </w:r>
          </w:p>
        </w:tc>
        <w:tc>
          <w:tcPr>
            <w:tcW w:type="dxa" w:w="2160"/>
          </w:tcPr>
          <w:p>
            <w:r>
              <w:t>Прогноз</w:t>
            </w:r>
          </w:p>
        </w:tc>
        <w:tc>
          <w:tcPr>
            <w:tcW w:type="dxa" w:w="2160"/>
          </w:tcPr>
          <w:p>
            <w:r>
              <w:t>100.97</w:t>
            </w:r>
          </w:p>
        </w:tc>
        <w:tc>
          <w:tcPr>
            <w:tcW w:type="dxa" w:w="2160"/>
          </w:tcPr>
          <w:p>
            <w:r>
              <w:t>8.36</w:t>
            </w:r>
          </w:p>
        </w:tc>
      </w:tr>
      <w:tr>
        <w:tc>
          <w:tcPr>
            <w:tcW w:type="dxa" w:w="2160"/>
          </w:tcPr>
          <w:p>
            <w:r>
              <w:t>2027-03</w:t>
            </w:r>
          </w:p>
        </w:tc>
        <w:tc>
          <w:tcPr>
            <w:tcW w:type="dxa" w:w="2160"/>
          </w:tcPr>
          <w:p>
            <w:r>
              <w:t>Прогноз</w:t>
            </w:r>
          </w:p>
        </w:tc>
        <w:tc>
          <w:tcPr>
            <w:tcW w:type="dxa" w:w="2160"/>
          </w:tcPr>
          <w:p>
            <w:r>
              <w:t>100.78</w:t>
            </w:r>
          </w:p>
        </w:tc>
        <w:tc>
          <w:tcPr>
            <w:tcW w:type="dxa" w:w="2160"/>
          </w:tcPr>
          <w:p>
            <w:r>
              <w:t>8.62</w:t>
            </w:r>
          </w:p>
        </w:tc>
      </w:tr>
      <w:tr>
        <w:tc>
          <w:tcPr>
            <w:tcW w:type="dxa" w:w="2160"/>
          </w:tcPr>
          <w:p>
            <w:r>
              <w:t>2027-04</w:t>
            </w:r>
          </w:p>
        </w:tc>
        <w:tc>
          <w:tcPr>
            <w:tcW w:type="dxa" w:w="2160"/>
          </w:tcPr>
          <w:p>
            <w:r>
              <w:t>Прогноз</w:t>
            </w:r>
          </w:p>
        </w:tc>
        <w:tc>
          <w:tcPr>
            <w:tcW w:type="dxa" w:w="2160"/>
          </w:tcPr>
          <w:p>
            <w:r>
              <w:t>100.75</w:t>
            </w:r>
          </w:p>
        </w:tc>
        <w:tc>
          <w:tcPr>
            <w:tcW w:type="dxa" w:w="2160"/>
          </w:tcPr>
          <w:p>
            <w:r>
              <w:t>9.74</w:t>
            </w:r>
          </w:p>
        </w:tc>
      </w:tr>
      <w:tr>
        <w:tc>
          <w:tcPr>
            <w:tcW w:type="dxa" w:w="2160"/>
          </w:tcPr>
          <w:p>
            <w:r>
              <w:t>2027-05</w:t>
            </w:r>
          </w:p>
        </w:tc>
        <w:tc>
          <w:tcPr>
            <w:tcW w:type="dxa" w:w="2160"/>
          </w:tcPr>
          <w:p>
            <w:r>
              <w:t>Прогноз</w:t>
            </w:r>
          </w:p>
        </w:tc>
        <w:tc>
          <w:tcPr>
            <w:tcW w:type="dxa" w:w="2160"/>
          </w:tcPr>
          <w:p>
            <w:r>
              <w:t>100.35</w:t>
            </w:r>
          </w:p>
        </w:tc>
        <w:tc>
          <w:tcPr>
            <w:tcW w:type="dxa" w:w="2160"/>
          </w:tcPr>
          <w:p>
            <w:r>
              <w:t>10.03</w:t>
            </w:r>
          </w:p>
        </w:tc>
      </w:tr>
      <w:tr>
        <w:tc>
          <w:tcPr>
            <w:tcW w:type="dxa" w:w="2160"/>
          </w:tcPr>
          <w:p>
            <w:r>
              <w:t>2027-06</w:t>
            </w:r>
          </w:p>
        </w:tc>
        <w:tc>
          <w:tcPr>
            <w:tcW w:type="dxa" w:w="2160"/>
          </w:tcPr>
          <w:p>
            <w:r>
              <w:t>Прогноз</w:t>
            </w:r>
          </w:p>
        </w:tc>
        <w:tc>
          <w:tcPr>
            <w:tcW w:type="dxa" w:w="2160"/>
          </w:tcPr>
          <w:p>
            <w:r>
              <w:t>100.15</w:t>
            </w:r>
          </w:p>
        </w:tc>
        <w:tc>
          <w:tcPr>
            <w:tcW w:type="dxa" w:w="2160"/>
          </w:tcPr>
          <w:p>
            <w:r>
              <w:t>9.04</w:t>
            </w:r>
          </w:p>
        </w:tc>
      </w:tr>
      <w:tr>
        <w:tc>
          <w:tcPr>
            <w:tcW w:type="dxa" w:w="2160"/>
          </w:tcPr>
          <w:p>
            <w:r>
              <w:t>2027-07</w:t>
            </w:r>
          </w:p>
        </w:tc>
        <w:tc>
          <w:tcPr>
            <w:tcW w:type="dxa" w:w="2160"/>
          </w:tcPr>
          <w:p>
            <w:r>
              <w:t>Прогноз</w:t>
            </w:r>
          </w:p>
        </w:tc>
        <w:tc>
          <w:tcPr>
            <w:tcW w:type="dxa" w:w="2160"/>
          </w:tcPr>
          <w:p>
            <w:r>
              <w:t>100.83</w:t>
            </w:r>
          </w:p>
        </w:tc>
        <w:tc>
          <w:tcPr>
            <w:tcW w:type="dxa" w:w="2160"/>
          </w:tcPr>
          <w:p>
            <w:r>
              <w:t>9.05</w:t>
            </w:r>
          </w:p>
        </w:tc>
      </w:tr>
      <w:tr>
        <w:tc>
          <w:tcPr>
            <w:tcW w:type="dxa" w:w="2160"/>
          </w:tcPr>
          <w:p>
            <w:r>
              <w:t>2027-08</w:t>
            </w:r>
          </w:p>
        </w:tc>
        <w:tc>
          <w:tcPr>
            <w:tcW w:type="dxa" w:w="2160"/>
          </w:tcPr>
          <w:p>
            <w:r>
              <w:t>Прогноз</w:t>
            </w:r>
          </w:p>
        </w:tc>
        <w:tc>
          <w:tcPr>
            <w:tcW w:type="dxa" w:w="2160"/>
          </w:tcPr>
          <w:p>
            <w:r>
              <w:t>99.97</w:t>
            </w:r>
          </w:p>
        </w:tc>
        <w:tc>
          <w:tcPr>
            <w:tcW w:type="dxa" w:w="2160"/>
          </w:tcPr>
          <w:p>
            <w:r>
              <w:t>8.88</w:t>
            </w:r>
          </w:p>
        </w:tc>
      </w:tr>
      <w:tr>
        <w:tc>
          <w:tcPr>
            <w:tcW w:type="dxa" w:w="2160"/>
          </w:tcPr>
          <w:p>
            <w:r>
              <w:t>2027-09</w:t>
            </w:r>
          </w:p>
        </w:tc>
        <w:tc>
          <w:tcPr>
            <w:tcW w:type="dxa" w:w="2160"/>
          </w:tcPr>
          <w:p>
            <w:r>
              <w:t>Прогноз</w:t>
            </w:r>
          </w:p>
        </w:tc>
        <w:tc>
          <w:tcPr>
            <w:tcW w:type="dxa" w:w="2160"/>
          </w:tcPr>
          <w:p>
            <w:r>
              <w:t>100.37</w:t>
            </w:r>
          </w:p>
        </w:tc>
        <w:tc>
          <w:tcPr>
            <w:tcW w:type="dxa" w:w="2160"/>
          </w:tcPr>
          <w:p>
            <w:r>
              <w:t>8.64</w:t>
            </w:r>
          </w:p>
        </w:tc>
      </w:tr>
      <w:tr>
        <w:tc>
          <w:tcPr>
            <w:tcW w:type="dxa" w:w="2160"/>
          </w:tcPr>
          <w:p>
            <w:r>
              <w:t>2027-10</w:t>
            </w:r>
          </w:p>
        </w:tc>
        <w:tc>
          <w:tcPr>
            <w:tcW w:type="dxa" w:w="2160"/>
          </w:tcPr>
          <w:p>
            <w:r>
              <w:t>Прогноз</w:t>
            </w:r>
          </w:p>
        </w:tc>
        <w:tc>
          <w:tcPr>
            <w:tcW w:type="dxa" w:w="2160"/>
          </w:tcPr>
          <w:p>
            <w:r>
              <w:t>100.41</w:t>
            </w:r>
          </w:p>
        </w:tc>
        <w:tc>
          <w:tcPr>
            <w:tcW w:type="dxa" w:w="2160"/>
          </w:tcPr>
          <w:p>
            <w:r>
              <w:t>7.65</w:t>
            </w:r>
          </w:p>
        </w:tc>
      </w:tr>
      <w:tr>
        <w:tc>
          <w:tcPr>
            <w:tcW w:type="dxa" w:w="2160"/>
          </w:tcPr>
          <w:p>
            <w:r>
              <w:t>2027-11</w:t>
            </w:r>
          </w:p>
        </w:tc>
        <w:tc>
          <w:tcPr>
            <w:tcW w:type="dxa" w:w="2160"/>
          </w:tcPr>
          <w:p>
            <w:r>
              <w:t>Прогноз</w:t>
            </w:r>
          </w:p>
        </w:tc>
        <w:tc>
          <w:tcPr>
            <w:tcW w:type="dxa" w:w="2160"/>
          </w:tcPr>
          <w:p>
            <w:r>
              <w:t>100.55</w:t>
            </w:r>
          </w:p>
        </w:tc>
        <w:tc>
          <w:tcPr>
            <w:tcW w:type="dxa" w:w="2160"/>
          </w:tcPr>
          <w:p>
            <w:r>
              <w:t>7.31</w:t>
            </w:r>
          </w:p>
        </w:tc>
      </w:tr>
      <w:tr>
        <w:tc>
          <w:tcPr>
            <w:tcW w:type="dxa" w:w="2160"/>
          </w:tcPr>
          <w:p>
            <w:r>
              <w:t>2027-12</w:t>
            </w:r>
          </w:p>
        </w:tc>
        <w:tc>
          <w:tcPr>
            <w:tcW w:type="dxa" w:w="2160"/>
          </w:tcPr>
          <w:p>
            <w:r>
              <w:t>Прогноз</w:t>
            </w:r>
          </w:p>
        </w:tc>
        <w:tc>
          <w:tcPr>
            <w:tcW w:type="dxa" w:w="2160"/>
          </w:tcPr>
          <w:p>
            <w:r>
              <w:t>100.63</w:t>
            </w:r>
          </w:p>
        </w:tc>
        <w:tc>
          <w:tcPr>
            <w:tcW w:type="dxa" w:w="2160"/>
          </w:tcPr>
          <w:p>
            <w:r>
              <w:t>6.96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36659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ca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591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