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Анализ отклонения прогноза ИПЦ КБР за апрель 2026 года</w:t>
      </w:r>
    </w:p>
    <w:p>
      <w:r>
        <w:rPr>
          <w:b/>
        </w:rPr>
        <w:t xml:space="preserve">Важно: </w:t>
      </w:r>
      <w:r>
        <w:t>официальный факт за май 2026 года отсутствует. Оперативные недельные наблюдения мая не используются как месячный факт и не включены в доказательную часть анализа.</w:t>
      </w:r>
    </w:p>
    <w:p>
      <w:pPr>
        <w:pStyle w:val="Heading1"/>
      </w:pPr>
      <w:r>
        <w:t>1. Резюме</w:t>
      </w:r>
    </w:p>
    <w:p>
      <w:r>
        <w:t>Фактический ИПЦ КБР в апреле 2026 года составил 99,72, или -0,28% MoM, при направленном прогнозе 100,45 (+0,45% MoM). Отклонение прогноза от факта составило +0,73 п.п., что превышает целевой коридор ±0,5 п.п. на 0,23 п.п.</w:t>
      </w:r>
    </w:p>
    <w:p>
      <w:r>
        <w:t>Основная причина отклонения — реализация исторически нетипичного дефляционного сценария: в доступном ряду с 2010 года апрельская дефляция по общему ИПЦ КБР ранее не наблюдалась. Главный вклад в отклонение внёс продовольственный компонент, прежде всего свежие овощи, бананы и яйца.</w:t>
      </w:r>
    </w:p>
    <w:p>
      <w:pPr>
        <w:pStyle w:val="Heading1"/>
      </w:pPr>
      <w:r>
        <w:t>2. План-факт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Показатель</w:t>
            </w:r>
          </w:p>
        </w:tc>
        <w:tc>
          <w:tcPr>
            <w:tcW w:type="dxa" w:w="3408"/>
          </w:tcPr>
          <w:p>
            <w:r>
              <w:t>Индекс</w:t>
            </w:r>
          </w:p>
        </w:tc>
        <w:tc>
          <w:tcPr>
            <w:tcW w:type="dxa" w:w="3408"/>
          </w:tcPr>
          <w:p>
            <w:r>
              <w:t>MoM / п.п.</w:t>
            </w:r>
          </w:p>
        </w:tc>
      </w:tr>
      <w:tr>
        <w:tc>
          <w:tcPr>
            <w:tcW w:type="dxa" w:w="3408"/>
          </w:tcPr>
          <w:p>
            <w:r>
              <w:t>Отправленный прогноз</w:t>
            </w:r>
          </w:p>
        </w:tc>
        <w:tc>
          <w:tcPr>
            <w:tcW w:type="dxa" w:w="3408"/>
          </w:tcPr>
          <w:p>
            <w:r>
              <w:t>100,45</w:t>
            </w:r>
          </w:p>
        </w:tc>
        <w:tc>
          <w:tcPr>
            <w:tcW w:type="dxa" w:w="3408"/>
          </w:tcPr>
          <w:p>
            <w:r>
              <w:t>+0,45%</w:t>
            </w:r>
          </w:p>
        </w:tc>
      </w:tr>
      <w:tr>
        <w:tc>
          <w:tcPr>
            <w:tcW w:type="dxa" w:w="3408"/>
          </w:tcPr>
          <w:p>
            <w:r>
              <w:t>Факт апрель 2026</w:t>
            </w:r>
          </w:p>
        </w:tc>
        <w:tc>
          <w:tcPr>
            <w:tcW w:type="dxa" w:w="3408"/>
          </w:tcPr>
          <w:p>
            <w:r>
              <w:t>99,72</w:t>
            </w:r>
          </w:p>
        </w:tc>
        <w:tc>
          <w:tcPr>
            <w:tcW w:type="dxa" w:w="3408"/>
          </w:tcPr>
          <w:p>
            <w:r>
              <w:t>-0,28%</w:t>
            </w:r>
          </w:p>
        </w:tc>
      </w:tr>
      <w:tr>
        <w:tc>
          <w:tcPr>
            <w:tcW w:type="dxa" w:w="3408"/>
          </w:tcPr>
          <w:p>
            <w:r>
              <w:t>Отклонение, прогноз − факт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+0,73 п.п.</w:t>
            </w:r>
          </w:p>
        </w:tc>
      </w:tr>
    </w:tbl>
    <w:p>
      <w:pPr>
        <w:pStyle w:val="Heading1"/>
      </w:pPr>
      <w:r>
        <w:t>3. Компонентный вклад в MoM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Компонент</w:t>
            </w:r>
          </w:p>
        </w:tc>
        <w:tc>
          <w:tcPr>
            <w:tcW w:type="dxa" w:w="2045"/>
          </w:tcPr>
          <w:p>
            <w:r>
              <w:t>Индекс</w:t>
            </w:r>
          </w:p>
        </w:tc>
        <w:tc>
          <w:tcPr>
            <w:tcW w:type="dxa" w:w="2045"/>
          </w:tcPr>
          <w:p>
            <w:r>
              <w:t>MoM</w:t>
            </w:r>
          </w:p>
        </w:tc>
        <w:tc>
          <w:tcPr>
            <w:tcW w:type="dxa" w:w="2045"/>
          </w:tcPr>
          <w:p>
            <w:r>
              <w:t>Вес</w:t>
            </w:r>
          </w:p>
        </w:tc>
        <w:tc>
          <w:tcPr>
            <w:tcW w:type="dxa" w:w="2045"/>
          </w:tcPr>
          <w:p>
            <w:r>
              <w:t>Вклад в общий MoM</w:t>
            </w:r>
          </w:p>
        </w:tc>
      </w:tr>
      <w:tr>
        <w:tc>
          <w:tcPr>
            <w:tcW w:type="dxa" w:w="2045"/>
          </w:tcPr>
          <w:p>
            <w:r>
              <w:t>Продовольственные товары</w:t>
            </w:r>
          </w:p>
        </w:tc>
        <w:tc>
          <w:tcPr>
            <w:tcW w:type="dxa" w:w="2045"/>
          </w:tcPr>
          <w:p>
            <w:r>
              <w:t>99,35</w:t>
            </w:r>
          </w:p>
        </w:tc>
        <w:tc>
          <w:tcPr>
            <w:tcW w:type="dxa" w:w="2045"/>
          </w:tcPr>
          <w:p>
            <w:r>
              <w:t>-0,65%</w:t>
            </w:r>
          </w:p>
        </w:tc>
        <w:tc>
          <w:tcPr>
            <w:tcW w:type="dxa" w:w="2045"/>
          </w:tcPr>
          <w:p>
            <w:r>
              <w:t>0,3986</w:t>
            </w:r>
          </w:p>
        </w:tc>
        <w:tc>
          <w:tcPr>
            <w:tcW w:type="dxa" w:w="2045"/>
          </w:tcPr>
          <w:p>
            <w:r>
              <w:t>-0,26 п.п.</w:t>
            </w:r>
          </w:p>
        </w:tc>
      </w:tr>
      <w:tr>
        <w:tc>
          <w:tcPr>
            <w:tcW w:type="dxa" w:w="2045"/>
          </w:tcPr>
          <w:p>
            <w:r>
              <w:t>Непродовольственные товары</w:t>
            </w:r>
          </w:p>
        </w:tc>
        <w:tc>
          <w:tcPr>
            <w:tcW w:type="dxa" w:w="2045"/>
          </w:tcPr>
          <w:p>
            <w:r>
              <w:t>99,84</w:t>
            </w:r>
          </w:p>
        </w:tc>
        <w:tc>
          <w:tcPr>
            <w:tcW w:type="dxa" w:w="2045"/>
          </w:tcPr>
          <w:p>
            <w:r>
              <w:t>-0,16%</w:t>
            </w:r>
          </w:p>
        </w:tc>
        <w:tc>
          <w:tcPr>
            <w:tcW w:type="dxa" w:w="2045"/>
          </w:tcPr>
          <w:p>
            <w:r>
              <w:t>0,3638</w:t>
            </w:r>
          </w:p>
        </w:tc>
        <w:tc>
          <w:tcPr>
            <w:tcW w:type="dxa" w:w="2045"/>
          </w:tcPr>
          <w:p>
            <w:r>
              <w:t>-0,06 п.п.</w:t>
            </w:r>
          </w:p>
        </w:tc>
      </w:tr>
      <w:tr>
        <w:tc>
          <w:tcPr>
            <w:tcW w:type="dxa" w:w="2045"/>
          </w:tcPr>
          <w:p>
            <w:r>
              <w:t>Услуги</w:t>
            </w:r>
          </w:p>
        </w:tc>
        <w:tc>
          <w:tcPr>
            <w:tcW w:type="dxa" w:w="2045"/>
          </w:tcPr>
          <w:p>
            <w:r>
              <w:t>100,16</w:t>
            </w:r>
          </w:p>
        </w:tc>
        <w:tc>
          <w:tcPr>
            <w:tcW w:type="dxa" w:w="2045"/>
          </w:tcPr>
          <w:p>
            <w:r>
              <w:t>+0,16%</w:t>
            </w:r>
          </w:p>
        </w:tc>
        <w:tc>
          <w:tcPr>
            <w:tcW w:type="dxa" w:w="2045"/>
          </w:tcPr>
          <w:p>
            <w:r>
              <w:t>0,2376</w:t>
            </w:r>
          </w:p>
        </w:tc>
        <w:tc>
          <w:tcPr>
            <w:tcW w:type="dxa" w:w="2045"/>
          </w:tcPr>
          <w:p>
            <w:r>
              <w:t>+0,04 п.п.</w:t>
            </w:r>
          </w:p>
        </w:tc>
      </w:tr>
      <w:tr>
        <w:tc>
          <w:tcPr>
            <w:tcW w:type="dxa" w:w="2045"/>
          </w:tcPr>
          <w:p>
            <w:r>
              <w:t>Итого по компонентам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-0,28 п.п.</w:t>
            </w:r>
          </w:p>
        </w:tc>
      </w:tr>
    </w:tbl>
    <w:p>
      <w:r>
        <w:t>Продовольственные товары снизились на -0,65% MoM и внесли около -0,26 п.п. в общий индекс. Непродовольственные товары добавили около -0,06 п.п. вниз. Услуги, напротив, дали небольшой положительный вклад около +0,04 п.п., но не компенсировали товарную дефляцию.</w:t>
      </w:r>
    </w:p>
    <w:p>
      <w:pPr>
        <w:pStyle w:val="Heading1"/>
      </w:pPr>
      <w:r>
        <w:t>4. Исторический контекст и устойчивые метрики</w:t>
      </w:r>
    </w:p>
    <w:p>
      <w:r>
        <w:t>В 2010–2025 годах средний апрельский прирост общего ИПЦ составлял +0,92%, медианный — +0,67%, усечённое среднее 10% — +0,79%. Минимальный апрель до 2026 года составлял +0,38% в 2024 году. Апрель 2026 года (-0,28%) оказался ниже исторического минимума и ниже нижней IQR-границы (-0,25%), то есть формально является нижним outlier. Robust z-score относительно медианы/MAD равен -3,58.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Показатель</w:t>
            </w:r>
          </w:p>
        </w:tc>
        <w:tc>
          <w:tcPr>
            <w:tcW w:type="dxa" w:w="1461"/>
          </w:tcPr>
          <w:p>
            <w:r>
              <w:t>Апрель 2026</w:t>
            </w:r>
          </w:p>
        </w:tc>
        <w:tc>
          <w:tcPr>
            <w:tcW w:type="dxa" w:w="1461"/>
          </w:tcPr>
          <w:p>
            <w:r>
              <w:t>Среднее</w:t>
            </w:r>
          </w:p>
        </w:tc>
        <w:tc>
          <w:tcPr>
            <w:tcW w:type="dxa" w:w="1461"/>
          </w:tcPr>
          <w:p>
            <w:r>
              <w:t>Медиана</w:t>
            </w:r>
          </w:p>
        </w:tc>
        <w:tc>
          <w:tcPr>
            <w:tcW w:type="dxa" w:w="1461"/>
          </w:tcPr>
          <w:p>
            <w:r>
              <w:t>Усеч. среднее</w:t>
            </w:r>
          </w:p>
        </w:tc>
        <w:tc>
          <w:tcPr>
            <w:tcW w:type="dxa" w:w="1461"/>
          </w:tcPr>
          <w:p>
            <w:r>
              <w:t>Outliers до 2026</w:t>
            </w:r>
          </w:p>
        </w:tc>
        <w:tc>
          <w:tcPr>
            <w:tcW w:type="dxa" w:w="1461"/>
          </w:tcPr>
          <w:p>
            <w:r>
              <w:t>Robust z</w:t>
            </w:r>
          </w:p>
        </w:tc>
      </w:tr>
      <w:tr>
        <w:tc>
          <w:tcPr>
            <w:tcW w:type="dxa" w:w="1461"/>
          </w:tcPr>
          <w:p>
            <w:r>
              <w:t>Все товары и услуги</w:t>
            </w:r>
          </w:p>
        </w:tc>
        <w:tc>
          <w:tcPr>
            <w:tcW w:type="dxa" w:w="1461"/>
          </w:tcPr>
          <w:p>
            <w:r>
              <w:t>-0,28%</w:t>
            </w:r>
          </w:p>
        </w:tc>
        <w:tc>
          <w:tcPr>
            <w:tcW w:type="dxa" w:w="1461"/>
          </w:tcPr>
          <w:p>
            <w:r>
              <w:t>+0,92%</w:t>
            </w:r>
          </w:p>
        </w:tc>
        <w:tc>
          <w:tcPr>
            <w:tcW w:type="dxa" w:w="1461"/>
          </w:tcPr>
          <w:p>
            <w:r>
              <w:t>+0,67%</w:t>
            </w:r>
          </w:p>
        </w:tc>
        <w:tc>
          <w:tcPr>
            <w:tcW w:type="dxa" w:w="1461"/>
          </w:tcPr>
          <w:p>
            <w:r>
              <w:t>+0,79%</w:t>
            </w:r>
          </w:p>
        </w:tc>
        <w:tc>
          <w:tcPr>
            <w:tcW w:type="dxa" w:w="1461"/>
          </w:tcPr>
          <w:p>
            <w:r>
              <w:t>2022</w:t>
            </w:r>
          </w:p>
        </w:tc>
        <w:tc>
          <w:tcPr>
            <w:tcW w:type="dxa" w:w="1461"/>
          </w:tcPr>
          <w:p>
            <w:r>
              <w:t>-3,58</w:t>
            </w:r>
          </w:p>
        </w:tc>
      </w:tr>
      <w:tr>
        <w:tc>
          <w:tcPr>
            <w:tcW w:type="dxa" w:w="1461"/>
          </w:tcPr>
          <w:p>
            <w:r>
              <w:t>Продовольственные</w:t>
            </w:r>
          </w:p>
        </w:tc>
        <w:tc>
          <w:tcPr>
            <w:tcW w:type="dxa" w:w="1461"/>
          </w:tcPr>
          <w:p>
            <w:r>
              <w:t>-0,65%</w:t>
            </w:r>
          </w:p>
        </w:tc>
        <w:tc>
          <w:tcPr>
            <w:tcW w:type="dxa" w:w="1461"/>
          </w:tcPr>
          <w:p>
            <w:r>
              <w:t>+1,26%</w:t>
            </w:r>
          </w:p>
        </w:tc>
        <w:tc>
          <w:tcPr>
            <w:tcW w:type="dxa" w:w="1461"/>
          </w:tcPr>
          <w:p>
            <w:r>
              <w:t>+0,84%</w:t>
            </w:r>
          </w:p>
        </w:tc>
        <w:tc>
          <w:tcPr>
            <w:tcW w:type="dxa" w:w="1461"/>
          </w:tcPr>
          <w:p>
            <w:r>
              <w:t>+1,05%</w:t>
            </w:r>
          </w:p>
        </w:tc>
        <w:tc>
          <w:tcPr>
            <w:tcW w:type="dxa" w:w="1461"/>
          </w:tcPr>
          <w:p>
            <w:r>
              <w:t>2020, 2022</w:t>
            </w:r>
          </w:p>
        </w:tc>
        <w:tc>
          <w:tcPr>
            <w:tcW w:type="dxa" w:w="1461"/>
          </w:tcPr>
          <w:p>
            <w:r>
              <w:t>-2,04</w:t>
            </w:r>
          </w:p>
        </w:tc>
      </w:tr>
      <w:tr>
        <w:tc>
          <w:tcPr>
            <w:tcW w:type="dxa" w:w="1461"/>
          </w:tcPr>
          <w:p>
            <w:r>
              <w:t>Непродовольственные</w:t>
            </w:r>
          </w:p>
        </w:tc>
        <w:tc>
          <w:tcPr>
            <w:tcW w:type="dxa" w:w="1461"/>
          </w:tcPr>
          <w:p>
            <w:r>
              <w:t>-0,16%</w:t>
            </w:r>
          </w:p>
        </w:tc>
        <w:tc>
          <w:tcPr>
            <w:tcW w:type="dxa" w:w="1461"/>
          </w:tcPr>
          <w:p>
            <w:r>
              <w:t>+0,62%</w:t>
            </w:r>
          </w:p>
        </w:tc>
        <w:tc>
          <w:tcPr>
            <w:tcW w:type="dxa" w:w="1461"/>
          </w:tcPr>
          <w:p>
            <w:r>
              <w:t>+0,47%</w:t>
            </w:r>
          </w:p>
        </w:tc>
        <w:tc>
          <w:tcPr>
            <w:tcW w:type="dxa" w:w="1461"/>
          </w:tcPr>
          <w:p>
            <w:r>
              <w:t>+0,58%</w:t>
            </w:r>
          </w:p>
        </w:tc>
        <w:tc>
          <w:tcPr>
            <w:tcW w:type="dxa" w:w="1461"/>
          </w:tcPr>
          <w:p>
            <w:r>
              <w:t>2022</w:t>
            </w:r>
          </w:p>
        </w:tc>
        <w:tc>
          <w:tcPr>
            <w:tcW w:type="dxa" w:w="1461"/>
          </w:tcPr>
          <w:p>
            <w:r>
              <w:t>-1,93</w:t>
            </w:r>
          </w:p>
        </w:tc>
      </w:tr>
      <w:tr>
        <w:tc>
          <w:tcPr>
            <w:tcW w:type="dxa" w:w="1461"/>
          </w:tcPr>
          <w:p>
            <w:r>
              <w:t>Услуги</w:t>
            </w:r>
          </w:p>
        </w:tc>
        <w:tc>
          <w:tcPr>
            <w:tcW w:type="dxa" w:w="1461"/>
          </w:tcPr>
          <w:p>
            <w:r>
              <w:t>+0,16%</w:t>
            </w:r>
          </w:p>
        </w:tc>
        <w:tc>
          <w:tcPr>
            <w:tcW w:type="dxa" w:w="1461"/>
          </w:tcPr>
          <w:p>
            <w:r>
              <w:t>+0,78%</w:t>
            </w:r>
          </w:p>
        </w:tc>
        <w:tc>
          <w:tcPr>
            <w:tcW w:type="dxa" w:w="1461"/>
          </w:tcPr>
          <w:p>
            <w:r>
              <w:t>+0,52%</w:t>
            </w:r>
          </w:p>
        </w:tc>
        <w:tc>
          <w:tcPr>
            <w:tcW w:type="dxa" w:w="1461"/>
          </w:tcPr>
          <w:p>
            <w:r>
              <w:t>+0,60%</w:t>
            </w:r>
          </w:p>
        </w:tc>
        <w:tc>
          <w:tcPr>
            <w:tcW w:type="dxa" w:w="1461"/>
          </w:tcPr>
          <w:p>
            <w:r>
              <w:t>2015</w:t>
            </w:r>
          </w:p>
        </w:tc>
        <w:tc>
          <w:tcPr>
            <w:tcW w:type="dxa" w:w="1461"/>
          </w:tcPr>
          <w:p>
            <w:r>
              <w:t>-1,10</w:t>
            </w:r>
          </w:p>
        </w:tc>
      </w:tr>
    </w:tbl>
    <w:p>
      <w:r>
        <w:t>До 2026 года апрель не был дефляционным месяцем в доступном ряду. Дефляционные месяцы чаще появлялись позже — с мая–июня и особенно летом. В 2026 году часть поздневесенне-летнего дефляционного паттерна проявилась уже в апреле.</w:t>
      </w:r>
    </w:p>
    <w:p>
      <w:pPr>
        <w:pStyle w:val="Heading1"/>
      </w:pPr>
      <w:r>
        <w:t>5. Продовольственные драйверы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Товар</w:t>
            </w:r>
          </w:p>
        </w:tc>
        <w:tc>
          <w:tcPr>
            <w:tcW w:type="dxa" w:w="2045"/>
          </w:tcPr>
          <w:p>
            <w:r>
              <w:t>Компонент</w:t>
            </w:r>
          </w:p>
        </w:tc>
        <w:tc>
          <w:tcPr>
            <w:tcW w:type="dxa" w:w="2045"/>
          </w:tcPr>
          <w:p>
            <w:r>
              <w:t>Цена 30.03</w:t>
            </w:r>
          </w:p>
        </w:tc>
        <w:tc>
          <w:tcPr>
            <w:tcW w:type="dxa" w:w="2045"/>
          </w:tcPr>
          <w:p>
            <w:r>
              <w:t>Цена 27.04</w:t>
            </w:r>
          </w:p>
        </w:tc>
        <w:tc>
          <w:tcPr>
            <w:tcW w:type="dxa" w:w="2045"/>
          </w:tcPr>
          <w:p>
            <w:r>
              <w:t>Вклад / изменение</w:t>
            </w:r>
          </w:p>
        </w:tc>
      </w:tr>
      <w:tr>
        <w:tc>
          <w:tcPr>
            <w:tcW w:type="dxa" w:w="2045"/>
          </w:tcPr>
          <w:p>
            <w:r>
              <w:t>Огурцы свежие,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223,21</w:t>
            </w:r>
          </w:p>
        </w:tc>
        <w:tc>
          <w:tcPr>
            <w:tcW w:type="dxa" w:w="2045"/>
          </w:tcPr>
          <w:p>
            <w:r>
              <w:t>172,69</w:t>
            </w:r>
          </w:p>
        </w:tc>
        <w:tc>
          <w:tcPr>
            <w:tcW w:type="dxa" w:w="2045"/>
          </w:tcPr>
          <w:p>
            <w:r>
              <w:t>-0,205 п.п.; -22,63%</w:t>
            </w:r>
          </w:p>
        </w:tc>
      </w:tr>
      <w:tr>
        <w:tc>
          <w:tcPr>
            <w:tcW w:type="dxa" w:w="2045"/>
          </w:tcPr>
          <w:p>
            <w:r>
              <w:t>Помидоры свежие,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322,33</w:t>
            </w:r>
          </w:p>
        </w:tc>
        <w:tc>
          <w:tcPr>
            <w:tcW w:type="dxa" w:w="2045"/>
          </w:tcPr>
          <w:p>
            <w:r>
              <w:t>264,72</w:t>
            </w:r>
          </w:p>
        </w:tc>
        <w:tc>
          <w:tcPr>
            <w:tcW w:type="dxa" w:w="2045"/>
          </w:tcPr>
          <w:p>
            <w:r>
              <w:t>-0,162 п.п.; -17,87%</w:t>
            </w:r>
          </w:p>
        </w:tc>
      </w:tr>
      <w:tr>
        <w:tc>
          <w:tcPr>
            <w:tcW w:type="dxa" w:w="2045"/>
          </w:tcPr>
          <w:p>
            <w:r>
              <w:t>Бананы,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161,76</w:t>
            </w:r>
          </w:p>
        </w:tc>
        <w:tc>
          <w:tcPr>
            <w:tcW w:type="dxa" w:w="2045"/>
          </w:tcPr>
          <w:p>
            <w:r>
              <w:t>148,09</w:t>
            </w:r>
          </w:p>
        </w:tc>
        <w:tc>
          <w:tcPr>
            <w:tcW w:type="dxa" w:w="2045"/>
          </w:tcPr>
          <w:p>
            <w:r>
              <w:t>-0,077 п.п.; -8,45%</w:t>
            </w:r>
          </w:p>
        </w:tc>
      </w:tr>
      <w:tr>
        <w:tc>
          <w:tcPr>
            <w:tcW w:type="dxa" w:w="2045"/>
          </w:tcPr>
          <w:p>
            <w:r>
              <w:t>Яйца куриные, 10 шт.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113,66</w:t>
            </w:r>
          </w:p>
        </w:tc>
        <w:tc>
          <w:tcPr>
            <w:tcW w:type="dxa" w:w="2045"/>
          </w:tcPr>
          <w:p>
            <w:r>
              <w:t>105,06</w:t>
            </w:r>
          </w:p>
        </w:tc>
        <w:tc>
          <w:tcPr>
            <w:tcW w:type="dxa" w:w="2045"/>
          </w:tcPr>
          <w:p>
            <w:r>
              <w:t>-0,069 п.п.; -7,57%</w:t>
            </w:r>
          </w:p>
        </w:tc>
      </w:tr>
      <w:tr>
        <w:tc>
          <w:tcPr>
            <w:tcW w:type="dxa" w:w="2045"/>
          </w:tcPr>
          <w:p>
            <w:r>
              <w:t>Телевизор, шт.</w:t>
            </w:r>
          </w:p>
        </w:tc>
        <w:tc>
          <w:tcPr>
            <w:tcW w:type="dxa" w:w="2045"/>
          </w:tcPr>
          <w:p>
            <w:r>
              <w:t>Непродовольственные</w:t>
            </w:r>
          </w:p>
        </w:tc>
        <w:tc>
          <w:tcPr>
            <w:tcW w:type="dxa" w:w="2045"/>
          </w:tcPr>
          <w:p>
            <w:r>
              <w:t>31798,84</w:t>
            </w:r>
          </w:p>
        </w:tc>
        <w:tc>
          <w:tcPr>
            <w:tcW w:type="dxa" w:w="2045"/>
          </w:tcPr>
          <w:p>
            <w:r>
              <w:t>30027,12</w:t>
            </w:r>
          </w:p>
        </w:tc>
        <w:tc>
          <w:tcPr>
            <w:tcW w:type="dxa" w:w="2045"/>
          </w:tcPr>
          <w:p>
            <w:r>
              <w:t>-0,047 п.п.; -5,57%</w:t>
            </w:r>
          </w:p>
        </w:tc>
      </w:tr>
      <w:tr>
        <w:tc>
          <w:tcPr>
            <w:tcW w:type="dxa" w:w="2045"/>
          </w:tcPr>
          <w:p>
            <w:r>
              <w:t>Смартфон, шт.</w:t>
            </w:r>
          </w:p>
        </w:tc>
        <w:tc>
          <w:tcPr>
            <w:tcW w:type="dxa" w:w="2045"/>
          </w:tcPr>
          <w:p>
            <w:r>
              <w:t>Непродовольственные</w:t>
            </w:r>
          </w:p>
        </w:tc>
        <w:tc>
          <w:tcPr>
            <w:tcW w:type="dxa" w:w="2045"/>
          </w:tcPr>
          <w:p>
            <w:r>
              <w:t>18866,51</w:t>
            </w:r>
          </w:p>
        </w:tc>
        <w:tc>
          <w:tcPr>
            <w:tcW w:type="dxa" w:w="2045"/>
          </w:tcPr>
          <w:p>
            <w:r>
              <w:t>18015,65</w:t>
            </w:r>
          </w:p>
        </w:tc>
        <w:tc>
          <w:tcPr>
            <w:tcW w:type="dxa" w:w="2045"/>
          </w:tcPr>
          <w:p>
            <w:r>
              <w:t>-0,038 п.п.; -4,51%</w:t>
            </w:r>
          </w:p>
        </w:tc>
      </w:tr>
      <w:tr>
        <w:tc>
          <w:tcPr>
            <w:tcW w:type="dxa" w:w="2045"/>
          </w:tcPr>
          <w:p>
            <w:r>
              <w:t>Крупа гречневая-ядрица,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80,53</w:t>
            </w:r>
          </w:p>
        </w:tc>
        <w:tc>
          <w:tcPr>
            <w:tcW w:type="dxa" w:w="2045"/>
          </w:tcPr>
          <w:p>
            <w:r>
              <w:t>77,83</w:t>
            </w:r>
          </w:p>
        </w:tc>
        <w:tc>
          <w:tcPr>
            <w:tcW w:type="dxa" w:w="2045"/>
          </w:tcPr>
          <w:p>
            <w:r>
              <w:t>-0,030 п.п.; -3,35%</w:t>
            </w:r>
          </w:p>
        </w:tc>
      </w:tr>
      <w:tr>
        <w:tc>
          <w:tcPr>
            <w:tcW w:type="dxa" w:w="2045"/>
          </w:tcPr>
          <w:p>
            <w:r>
              <w:t>Куры охлажденные и мороженые,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225,95</w:t>
            </w:r>
          </w:p>
        </w:tc>
        <w:tc>
          <w:tcPr>
            <w:tcW w:type="dxa" w:w="2045"/>
          </w:tcPr>
          <w:p>
            <w:r>
              <w:t>218,82</w:t>
            </w:r>
          </w:p>
        </w:tc>
        <w:tc>
          <w:tcPr>
            <w:tcW w:type="dxa" w:w="2045"/>
          </w:tcPr>
          <w:p>
            <w:r>
              <w:t>-0,029 п.п.; -3,16%</w:t>
            </w:r>
          </w:p>
        </w:tc>
      </w:tr>
      <w:tr>
        <w:tc>
          <w:tcPr>
            <w:tcW w:type="dxa" w:w="2045"/>
          </w:tcPr>
          <w:p>
            <w:r>
              <w:t>Мука пшеничная,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59,60</w:t>
            </w:r>
          </w:p>
        </w:tc>
        <w:tc>
          <w:tcPr>
            <w:tcW w:type="dxa" w:w="2045"/>
          </w:tcPr>
          <w:p>
            <w:r>
              <w:t>57,74</w:t>
            </w:r>
          </w:p>
        </w:tc>
        <w:tc>
          <w:tcPr>
            <w:tcW w:type="dxa" w:w="2045"/>
          </w:tcPr>
          <w:p>
            <w:r>
              <w:t>-0,028 п.п.; -3,12%</w:t>
            </w:r>
          </w:p>
        </w:tc>
      </w:tr>
      <w:tr>
        <w:tc>
          <w:tcPr>
            <w:tcW w:type="dxa" w:w="2045"/>
          </w:tcPr>
          <w:p>
            <w:r>
              <w:t>Картофель,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52,49</w:t>
            </w:r>
          </w:p>
        </w:tc>
        <w:tc>
          <w:tcPr>
            <w:tcW w:type="dxa" w:w="2045"/>
          </w:tcPr>
          <w:p>
            <w:r>
              <w:t>51,02</w:t>
            </w:r>
          </w:p>
        </w:tc>
        <w:tc>
          <w:tcPr>
            <w:tcW w:type="dxa" w:w="2045"/>
          </w:tcPr>
          <w:p>
            <w:r>
              <w:t>-0,025 п.п.; -2,80%</w:t>
            </w:r>
          </w:p>
        </w:tc>
      </w:tr>
      <w:tr>
        <w:tc>
          <w:tcPr>
            <w:tcW w:type="dxa" w:w="2045"/>
          </w:tcPr>
          <w:p>
            <w:r>
              <w:t>Валидол, 60 мг, 10 таблеток</w:t>
            </w:r>
          </w:p>
        </w:tc>
        <w:tc>
          <w:tcPr>
            <w:tcW w:type="dxa" w:w="2045"/>
          </w:tcPr>
          <w:p>
            <w:r>
              <w:t>Непродовольственные</w:t>
            </w:r>
          </w:p>
        </w:tc>
        <w:tc>
          <w:tcPr>
            <w:tcW w:type="dxa" w:w="2045"/>
          </w:tcPr>
          <w:p>
            <w:r>
              <w:t>41,08</w:t>
            </w:r>
          </w:p>
        </w:tc>
        <w:tc>
          <w:tcPr>
            <w:tcW w:type="dxa" w:w="2045"/>
          </w:tcPr>
          <w:p>
            <w:r>
              <w:t>39,86</w:t>
            </w:r>
          </w:p>
        </w:tc>
        <w:tc>
          <w:tcPr>
            <w:tcW w:type="dxa" w:w="2045"/>
          </w:tcPr>
          <w:p>
            <w:r>
              <w:t>-0,025 п.п.; -2,97%</w:t>
            </w:r>
          </w:p>
        </w:tc>
      </w:tr>
      <w:tr>
        <w:tc>
          <w:tcPr>
            <w:tcW w:type="dxa" w:w="2045"/>
          </w:tcPr>
          <w:p>
            <w:r>
              <w:t>Рис шлифованный, кг</w:t>
            </w:r>
          </w:p>
        </w:tc>
        <w:tc>
          <w:tcPr>
            <w:tcW w:type="dxa" w:w="2045"/>
          </w:tcPr>
          <w:p>
            <w:r>
              <w:t>Продовольственные</w:t>
            </w:r>
          </w:p>
        </w:tc>
        <w:tc>
          <w:tcPr>
            <w:tcW w:type="dxa" w:w="2045"/>
          </w:tcPr>
          <w:p>
            <w:r>
              <w:t>117,93</w:t>
            </w:r>
          </w:p>
        </w:tc>
        <w:tc>
          <w:tcPr>
            <w:tcW w:type="dxa" w:w="2045"/>
          </w:tcPr>
          <w:p>
            <w:r>
              <w:t>114,94</w:t>
            </w:r>
          </w:p>
        </w:tc>
        <w:tc>
          <w:tcPr>
            <w:tcW w:type="dxa" w:w="2045"/>
          </w:tcPr>
          <w:p>
            <w:r>
              <w:t>-0,023 п.п.; -2,54%</w:t>
            </w:r>
          </w:p>
        </w:tc>
      </w:tr>
    </w:tbl>
    <w:p>
      <w:r>
        <w:t>Наиболее сильные отрицательные товарные движения: огурцы (-22,6%), помидоры (-17,9%), бананы (-8,5%), яйца (-7,6%). Они совпали с коррекцией после заметного зимне-весеннего роста и стали основой продовольственного отрицательного вклада.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Товар</w:t>
            </w:r>
          </w:p>
        </w:tc>
        <w:tc>
          <w:tcPr>
            <w:tcW w:type="dxa" w:w="1704"/>
          </w:tcPr>
          <w:p>
            <w:r>
              <w:t>Сен.25–мар.26</w:t>
            </w:r>
          </w:p>
        </w:tc>
        <w:tc>
          <w:tcPr>
            <w:tcW w:type="dxa" w:w="1704"/>
          </w:tcPr>
          <w:p>
            <w:r>
              <w:t>Мар.–апр.26</w:t>
            </w:r>
          </w:p>
        </w:tc>
        <w:tc>
          <w:tcPr>
            <w:tcW w:type="dxa" w:w="1704"/>
          </w:tcPr>
          <w:p>
            <w:r>
              <w:t>Сен.25–апр.26</w:t>
            </w:r>
          </w:p>
        </w:tc>
        <w:tc>
          <w:tcPr>
            <w:tcW w:type="dxa" w:w="1704"/>
          </w:tcPr>
          <w:p>
            <w:r>
              <w:t>Медиана апреля</w:t>
            </w:r>
          </w:p>
        </w:tc>
        <w:tc>
          <w:tcPr>
            <w:tcW w:type="dxa" w:w="1704"/>
          </w:tcPr>
          <w:p>
            <w:r>
              <w:t>Перцентиль апр.26</w:t>
            </w:r>
          </w:p>
        </w:tc>
      </w:tr>
      <w:tr>
        <w:tc>
          <w:tcPr>
            <w:tcW w:type="dxa" w:w="1704"/>
          </w:tcPr>
          <w:p>
            <w:r>
              <w:t>яйца куриные</w:t>
            </w:r>
          </w:p>
        </w:tc>
        <w:tc>
          <w:tcPr>
            <w:tcW w:type="dxa" w:w="1704"/>
          </w:tcPr>
          <w:p>
            <w:r>
              <w:t>+46,19%</w:t>
            </w:r>
          </w:p>
        </w:tc>
        <w:tc>
          <w:tcPr>
            <w:tcW w:type="dxa" w:w="1704"/>
          </w:tcPr>
          <w:p>
            <w:r>
              <w:t>-7,57%</w:t>
            </w:r>
          </w:p>
        </w:tc>
        <w:tc>
          <w:tcPr>
            <w:tcW w:type="dxa" w:w="1704"/>
          </w:tcPr>
          <w:p>
            <w:r>
              <w:t>+35,13%</w:t>
            </w:r>
          </w:p>
        </w:tc>
        <w:tc>
          <w:tcPr>
            <w:tcW w:type="dxa" w:w="1704"/>
          </w:tcPr>
          <w:p>
            <w:r>
              <w:t>-0,59%</w:t>
            </w:r>
          </w:p>
        </w:tc>
        <w:tc>
          <w:tcPr>
            <w:tcW w:type="dxa" w:w="1704"/>
          </w:tcPr>
          <w:p>
            <w:r>
              <w:t>18%</w:t>
            </w:r>
          </w:p>
        </w:tc>
      </w:tr>
      <w:tr>
        <w:tc>
          <w:tcPr>
            <w:tcW w:type="dxa" w:w="1704"/>
          </w:tcPr>
          <w:p>
            <w:r>
              <w:t>огурцы свежие</w:t>
            </w:r>
          </w:p>
        </w:tc>
        <w:tc>
          <w:tcPr>
            <w:tcW w:type="dxa" w:w="1704"/>
          </w:tcPr>
          <w:p>
            <w:r>
              <w:t>+51,10%</w:t>
            </w:r>
          </w:p>
        </w:tc>
        <w:tc>
          <w:tcPr>
            <w:tcW w:type="dxa" w:w="1704"/>
          </w:tcPr>
          <w:p>
            <w:r>
              <w:t>-22,63%</w:t>
            </w:r>
          </w:p>
        </w:tc>
        <w:tc>
          <w:tcPr>
            <w:tcW w:type="dxa" w:w="1704"/>
          </w:tcPr>
          <w:p>
            <w:r>
              <w:t>+16,90%</w:t>
            </w:r>
          </w:p>
        </w:tc>
        <w:tc>
          <w:tcPr>
            <w:tcW w:type="dxa" w:w="1704"/>
          </w:tcPr>
          <w:p>
            <w:r>
              <w:t>-12,17%</w:t>
            </w:r>
          </w:p>
        </w:tc>
        <w:tc>
          <w:tcPr>
            <w:tcW w:type="dxa" w:w="1704"/>
          </w:tcPr>
          <w:p>
            <w:r>
              <w:t>25%</w:t>
            </w:r>
          </w:p>
        </w:tc>
      </w:tr>
      <w:tr>
        <w:tc>
          <w:tcPr>
            <w:tcW w:type="dxa" w:w="1704"/>
          </w:tcPr>
          <w:p>
            <w:r>
              <w:t>помидоры свежие</w:t>
            </w:r>
          </w:p>
        </w:tc>
        <w:tc>
          <w:tcPr>
            <w:tcW w:type="dxa" w:w="1704"/>
          </w:tcPr>
          <w:p>
            <w:r>
              <w:t>+108,99%</w:t>
            </w:r>
          </w:p>
        </w:tc>
        <w:tc>
          <w:tcPr>
            <w:tcW w:type="dxa" w:w="1704"/>
          </w:tcPr>
          <w:p>
            <w:r>
              <w:t>-17,87%</w:t>
            </w:r>
          </w:p>
        </w:tc>
        <w:tc>
          <w:tcPr>
            <w:tcW w:type="dxa" w:w="1704"/>
          </w:tcPr>
          <w:p>
            <w:r>
              <w:t>+71,64%</w:t>
            </w:r>
          </w:p>
        </w:tc>
        <w:tc>
          <w:tcPr>
            <w:tcW w:type="dxa" w:w="1704"/>
          </w:tcPr>
          <w:p>
            <w:r>
              <w:t>-4,15%</w:t>
            </w:r>
          </w:p>
        </w:tc>
        <w:tc>
          <w:tcPr>
            <w:tcW w:type="dxa" w:w="1704"/>
          </w:tcPr>
          <w:p>
            <w:r>
              <w:t>0%</w:t>
            </w:r>
          </w:p>
        </w:tc>
      </w:tr>
      <w:tr>
        <w:tc>
          <w:tcPr>
            <w:tcW w:type="dxa" w:w="1704"/>
          </w:tcPr>
          <w:p>
            <w:r>
              <w:t>картофель</w:t>
            </w:r>
          </w:p>
        </w:tc>
        <w:tc>
          <w:tcPr>
            <w:tcW w:type="dxa" w:w="1704"/>
          </w:tcPr>
          <w:p>
            <w:r>
              <w:t>+33,19%</w:t>
            </w:r>
          </w:p>
        </w:tc>
        <w:tc>
          <w:tcPr>
            <w:tcW w:type="dxa" w:w="1704"/>
          </w:tcPr>
          <w:p>
            <w:r>
              <w:t>-2,80%</w:t>
            </w:r>
          </w:p>
        </w:tc>
        <w:tc>
          <w:tcPr>
            <w:tcW w:type="dxa" w:w="1704"/>
          </w:tcPr>
          <w:p>
            <w:r>
              <w:t>+29,46%</w:t>
            </w:r>
          </w:p>
        </w:tc>
        <w:tc>
          <w:tcPr>
            <w:tcW w:type="dxa" w:w="1704"/>
          </w:tcPr>
          <w:p>
            <w:r>
              <w:t>+2,48%</w:t>
            </w:r>
          </w:p>
        </w:tc>
        <w:tc>
          <w:tcPr>
            <w:tcW w:type="dxa" w:w="1704"/>
          </w:tcPr>
          <w:p>
            <w:r>
              <w:t>35%</w:t>
            </w:r>
          </w:p>
        </w:tc>
      </w:tr>
      <w:tr>
        <w:tc>
          <w:tcPr>
            <w:tcW w:type="dxa" w:w="1704"/>
          </w:tcPr>
          <w:p>
            <w:r>
              <w:t>капуста белокочанная</w:t>
            </w:r>
          </w:p>
        </w:tc>
        <w:tc>
          <w:tcPr>
            <w:tcW w:type="dxa" w:w="1704"/>
          </w:tcPr>
          <w:p>
            <w:r>
              <w:t>+7,03%</w:t>
            </w:r>
          </w:p>
        </w:tc>
        <w:tc>
          <w:tcPr>
            <w:tcW w:type="dxa" w:w="1704"/>
          </w:tcPr>
          <w:p>
            <w:r>
              <w:t>+15,87%</w:t>
            </w:r>
          </w:p>
        </w:tc>
        <w:tc>
          <w:tcPr>
            <w:tcW w:type="dxa" w:w="1704"/>
          </w:tcPr>
          <w:p>
            <w:r>
              <w:t>+24,01%</w:t>
            </w:r>
          </w:p>
        </w:tc>
        <w:tc>
          <w:tcPr>
            <w:tcW w:type="dxa" w:w="1704"/>
          </w:tcPr>
          <w:p>
            <w:r>
              <w:t>+4,00%</w:t>
            </w:r>
          </w:p>
        </w:tc>
        <w:tc>
          <w:tcPr>
            <w:tcW w:type="dxa" w:w="1704"/>
          </w:tcPr>
          <w:p>
            <w:r>
              <w:t>71%</w:t>
            </w:r>
          </w:p>
        </w:tc>
      </w:tr>
      <w:tr>
        <w:tc>
          <w:tcPr>
            <w:tcW w:type="dxa" w:w="1704"/>
          </w:tcPr>
          <w:p>
            <w:r>
              <w:t>морковь</w:t>
            </w:r>
          </w:p>
        </w:tc>
        <w:tc>
          <w:tcPr>
            <w:tcW w:type="dxa" w:w="1704"/>
          </w:tcPr>
          <w:p>
            <w:r>
              <w:t>+31,15%</w:t>
            </w:r>
          </w:p>
        </w:tc>
        <w:tc>
          <w:tcPr>
            <w:tcW w:type="dxa" w:w="1704"/>
          </w:tcPr>
          <w:p>
            <w:r>
              <w:t>+2,62%</w:t>
            </w:r>
          </w:p>
        </w:tc>
        <w:tc>
          <w:tcPr>
            <w:tcW w:type="dxa" w:w="1704"/>
          </w:tcPr>
          <w:p>
            <w:r>
              <w:t>+34,59%</w:t>
            </w:r>
          </w:p>
        </w:tc>
        <w:tc>
          <w:tcPr>
            <w:tcW w:type="dxa" w:w="1704"/>
          </w:tcPr>
          <w:p>
            <w:r>
              <w:t>+7,56%</w:t>
            </w:r>
          </w:p>
        </w:tc>
        <w:tc>
          <w:tcPr>
            <w:tcW w:type="dxa" w:w="1704"/>
          </w:tcPr>
          <w:p>
            <w:r>
              <w:t>29%</w:t>
            </w:r>
          </w:p>
        </w:tc>
      </w:tr>
      <w:tr>
        <w:tc>
          <w:tcPr>
            <w:tcW w:type="dxa" w:w="1704"/>
          </w:tcPr>
          <w:p>
            <w:r>
              <w:t>свекла столовая</w:t>
            </w:r>
          </w:p>
        </w:tc>
        <w:tc>
          <w:tcPr>
            <w:tcW w:type="dxa" w:w="1704"/>
          </w:tcPr>
          <w:p>
            <w:r>
              <w:t>+5,36%</w:t>
            </w:r>
          </w:p>
        </w:tc>
        <w:tc>
          <w:tcPr>
            <w:tcW w:type="dxa" w:w="1704"/>
          </w:tcPr>
          <w:p>
            <w:r>
              <w:t>+10,09%</w:t>
            </w:r>
          </w:p>
        </w:tc>
        <w:tc>
          <w:tcPr>
            <w:tcW w:type="dxa" w:w="1704"/>
          </w:tcPr>
          <w:p>
            <w:r>
              <w:t>+15,99%</w:t>
            </w:r>
          </w:p>
        </w:tc>
        <w:tc>
          <w:tcPr>
            <w:tcW w:type="dxa" w:w="1704"/>
          </w:tcPr>
          <w:p>
            <w:r>
              <w:t>+17,64%</w:t>
            </w:r>
          </w:p>
        </w:tc>
        <w:tc>
          <w:tcPr>
            <w:tcW w:type="dxa" w:w="1704"/>
          </w:tcPr>
          <w:p>
            <w:r>
              <w:t>25%</w:t>
            </w:r>
          </w:p>
        </w:tc>
      </w:tr>
      <w:tr>
        <w:tc>
          <w:tcPr>
            <w:tcW w:type="dxa" w:w="1704"/>
          </w:tcPr>
          <w:p>
            <w:r>
              <w:t>лук репчатый</w:t>
            </w:r>
          </w:p>
        </w:tc>
        <w:tc>
          <w:tcPr>
            <w:tcW w:type="dxa" w:w="1704"/>
          </w:tcPr>
          <w:p>
            <w:r>
              <w:t>+25,11%</w:t>
            </w:r>
          </w:p>
        </w:tc>
        <w:tc>
          <w:tcPr>
            <w:tcW w:type="dxa" w:w="1704"/>
          </w:tcPr>
          <w:p>
            <w:r>
              <w:t>+4,38%</w:t>
            </w:r>
          </w:p>
        </w:tc>
        <w:tc>
          <w:tcPr>
            <w:tcW w:type="dxa" w:w="1704"/>
          </w:tcPr>
          <w:p>
            <w:r>
              <w:t>+30,60%</w:t>
            </w:r>
          </w:p>
        </w:tc>
        <w:tc>
          <w:tcPr>
            <w:tcW w:type="dxa" w:w="1704"/>
          </w:tcPr>
          <w:p>
            <w:r>
              <w:t>+10,07%</w:t>
            </w:r>
          </w:p>
        </w:tc>
        <w:tc>
          <w:tcPr>
            <w:tcW w:type="dxa" w:w="1704"/>
          </w:tcPr>
          <w:p>
            <w:r>
              <w:t>41%</w:t>
            </w:r>
          </w:p>
        </w:tc>
      </w:tr>
      <w:tr>
        <w:tc>
          <w:tcPr>
            <w:tcW w:type="dxa" w:w="1704"/>
          </w:tcPr>
          <w:p>
            <w:r>
              <w:t>бананы</w:t>
            </w:r>
          </w:p>
        </w:tc>
        <w:tc>
          <w:tcPr>
            <w:tcW w:type="dxa" w:w="1704"/>
          </w:tcPr>
          <w:p>
            <w:r>
              <w:t>+11,66%</w:t>
            </w:r>
          </w:p>
        </w:tc>
        <w:tc>
          <w:tcPr>
            <w:tcW w:type="dxa" w:w="1704"/>
          </w:tcPr>
          <w:p>
            <w:r>
              <w:t>-8,45%</w:t>
            </w:r>
          </w:p>
        </w:tc>
        <w:tc>
          <w:tcPr>
            <w:tcW w:type="dxa" w:w="1704"/>
          </w:tcPr>
          <w:p>
            <w:r>
              <w:t>+2,22%</w:t>
            </w:r>
          </w:p>
        </w:tc>
        <w:tc>
          <w:tcPr>
            <w:tcW w:type="dxa" w:w="1704"/>
          </w:tcPr>
          <w:p>
            <w:r>
              <w:t>-3,37%</w:t>
            </w:r>
          </w:p>
        </w:tc>
        <w:tc>
          <w:tcPr>
            <w:tcW w:type="dxa" w:w="1704"/>
          </w:tcPr>
          <w:p>
            <w:r>
              <w:t>25%</w:t>
            </w:r>
          </w:p>
        </w:tc>
      </w:tr>
    </w:tbl>
    <w:p>
      <w:pPr>
        <w:pStyle w:val="Heading1"/>
      </w:pPr>
      <w:r>
        <w:t>6. Почему именно апрель 2026 года дал аномалию</w:t>
      </w:r>
    </w:p>
    <w:p>
      <w:pPr>
        <w:pStyle w:val="ListBullet"/>
      </w:pPr>
      <w:r>
        <w:t>Ранняя плодоовощная коррекция: обычно выраженное дефляционное давление по овощам усиливается в мае–летом, но в 2026 году сильное снижение огурцов и помидоров началось уже в марте–апреле.</w:t>
      </w:r>
    </w:p>
    <w:p>
      <w:pPr>
        <w:pStyle w:val="ListBullet"/>
      </w:pPr>
      <w:r>
        <w:t>Коррекция после перегрева: яйца с сентября 2025 по март 2026 выросли на 46,2%, помидоры — на 109,0%, огурцы — на 51,1%; в апреле начался откат этих цен.</w:t>
      </w:r>
    </w:p>
    <w:p>
      <w:pPr>
        <w:pStyle w:val="ListBullet"/>
      </w:pPr>
      <w:r>
        <w:t>Слабость непродовольственных товаров: компонент снизился на -0,16% MoM и дал около -0,06 п.п. в общий индекс; в недельном контуре снижались телевизоры, смартфоны, отдельные лекарства и товары повседневного спроса.</w:t>
      </w:r>
    </w:p>
    <w:p>
      <w:pPr>
        <w:pStyle w:val="ListBullet"/>
      </w:pPr>
      <w:r>
        <w:t>Валютный фон: индекс usd_nom_i снизился с 94,93 в марте до 92,16 в апреле, что соответствует заметному укреплению рубля / ослаблению валютного давления на торгуемые товары.</w:t>
      </w:r>
    </w:p>
    <w:p>
      <w:pPr>
        <w:pStyle w:val="ListBullet"/>
      </w:pPr>
      <w:r>
        <w:t>Слабость общего реального индикатора: all_real снизился с 100,60 в марте до 96,50 в апреле, что согласуется с меньшей возможностью переноса издержек в цены.</w:t>
      </w:r>
    </w:p>
    <w:p>
      <w:pPr>
        <w:pStyle w:val="Heading1"/>
      </w:pPr>
      <w:r>
        <w:t>7. Аналогия с 2022 годом</w:t>
      </w:r>
    </w:p>
    <w:p>
      <w:r>
        <w:t>Ближайшая механическая аналогия — 2022 год: после сильного весеннего ценового шока и последующего укрепления рубля в июне–августе возникла дефляционная коррекция, прежде всего через продовольствие и товары. В 2026 году масштаб был меньше, но логика похожа: накопленный рост отдельных товаров, укрепление рубля и последующая товарная коррекция. Отличие в том, что в 2026 году дефляционный сдвиг пришёлся уже на апрель, то есть раньше обычного сезонного окна.</w:t>
      </w:r>
    </w:p>
    <w:p>
      <w:pPr>
        <w:pStyle w:val="Heading1"/>
      </w:pPr>
      <w:r>
        <w:t>8. Рекомендуемое заключение</w:t>
      </w:r>
    </w:p>
    <w:p>
      <w:r>
        <w:t>Отклонение прогноза объясняется не завышенным базовым апрельским прогнозом, а совпадением нескольких факторов: раннего плодоовощного снижения, коррекции яиц и отдельных продуктов после накопленного роста, слабости непродовольственных товаров и укрепления рубля. Совокупно это сформировало первый дефляционный апрель в доступной истории региона и привело к факту 99,72 против прогноза 100,45.</w:t>
      </w:r>
    </w:p>
    <w:p>
      <w:pPr>
        <w:pStyle w:val="Heading1"/>
      </w:pPr>
      <w:r>
        <w:t>9. Шаблон для будущих аналогичных анализов</w:t>
      </w:r>
    </w:p>
    <w:p>
      <w:pPr>
        <w:pStyle w:val="ListNumber"/>
      </w:pPr>
      <w:r>
        <w:t>Зафиксировать отправленный прогноз, факт, ошибку и прохождение/непрохождение коридора ±0,5 п.п.</w:t>
      </w:r>
    </w:p>
    <w:p>
      <w:pPr>
        <w:pStyle w:val="ListNumber"/>
      </w:pPr>
      <w:r>
        <w:t>Разложить факт по компонентам с весами: продовольствие, непродовольственные товары, услуги.</w:t>
      </w:r>
    </w:p>
    <w:p>
      <w:pPr>
        <w:pStyle w:val="ListNumber"/>
      </w:pPr>
      <w:r>
        <w:t>Сравнить месяц с историей именно этого календарного месяца: среднее, медиана, усечённое среднее, IQR, outliers, минимум/максимум.</w:t>
      </w:r>
    </w:p>
    <w:p>
      <w:pPr>
        <w:pStyle w:val="ListNumber"/>
      </w:pPr>
      <w:r>
        <w:t>Проверить, является ли факт исторической аномалией или укладывается в обычный сезонный диапазон.</w:t>
      </w:r>
    </w:p>
    <w:p>
      <w:pPr>
        <w:pStyle w:val="ListNumber"/>
      </w:pPr>
      <w:r>
        <w:t>Выделить товарные драйверы: вклад, изменение цены, динамика последних 6–12 месяцев, сравнение с исторической сезонностью.</w:t>
      </w:r>
    </w:p>
    <w:p>
      <w:pPr>
        <w:pStyle w:val="ListNumber"/>
      </w:pPr>
      <w:r>
        <w:t>Описать макро- и сопутствующий фон: курс/валютный индекс, ставки, реальные индикаторы, возможное охлаждение спроса.</w:t>
      </w:r>
    </w:p>
    <w:p>
      <w:pPr>
        <w:pStyle w:val="ListNumber"/>
      </w:pPr>
      <w:r>
        <w:t>Сформулировать 3–5 причин отклонения и отделить официальные факты от оперативных недельных сигналов.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