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Прогноз ИПЦ КБР: 2026–2027</w:t>
      </w:r>
    </w:p>
    <w:p>
      <w:r>
        <w:t>Документ фиксирует обновлённый прогноз ИПЦ КБР после выхода факта за апрель 2026 и обновления недельных данных за три недели мая. Прогноз сочетает фактические значения января–апреля 2026, nowcast мая, оценку июньской продовольственной динамики, возможный возврат части снизившихся продовольственных цен, крепкий рубль на 21 мая и сценарное ослабление валютного фактора в дальнейшем.</w:t>
      </w:r>
    </w:p>
    <w:p>
      <w:pPr>
        <w:pStyle w:val="Heading1"/>
      </w:pPr>
      <w:r>
        <w:t>Ключевые предпосылки</w:t>
      </w:r>
    </w:p>
    <w:p>
      <w:pPr>
        <w:pStyle w:val="ListBullet"/>
      </w:pPr>
      <w:r>
        <w:t>Факт апреля 2026 составил 99,72, что заметно ниже прежнего прогноза 100,45.</w:t>
      </w:r>
    </w:p>
    <w:p>
      <w:pPr>
        <w:pStyle w:val="ListBullet"/>
      </w:pPr>
      <w:r>
        <w:t>Майский прогноз установлен на 99,90: достигнутые цены на 18 мая относительно последней недели апреля дают около 99,93, но остаётся риск слабой последней недели.</w:t>
      </w:r>
    </w:p>
    <w:p>
      <w:pPr>
        <w:pStyle w:val="ListBullet"/>
      </w:pPr>
      <w:r>
        <w:t>Июнь установлен на 100,00: продовольствие исторически слабо в июне, но значительная часть плодоовощного снижения уже реализована в апреле–мае.</w:t>
      </w:r>
    </w:p>
    <w:p>
      <w:pPr>
        <w:pStyle w:val="ListBullet"/>
      </w:pPr>
      <w:r>
        <w:t>С июля месячные значения не менялись кардинально: сохранён плавный профиль с учётом летней сезонности, возможного возврата части продовольственных цен и будущего ослабления рубля.</w:t>
      </w:r>
    </w:p>
    <w:p>
      <w:pPr>
        <w:pStyle w:val="ListBullet"/>
      </w:pPr>
      <w:r>
        <w:t>Июльская индексация услуг в 2026 году не закладывается; тарифно-услуговый эффект смещён на октябрь, но в сглаженной форме.</w:t>
      </w:r>
    </w:p>
    <w:p>
      <w:pPr>
        <w:pStyle w:val="ListBullet"/>
      </w:pPr>
      <w:r>
        <w:t>Конец 2027 года настроен близко к целевым 4% YoY: декабрь 2027 = 104,02.</w:t>
      </w:r>
    </w:p>
    <w:p>
      <w:pPr>
        <w:pStyle w:val="Heading1"/>
      </w:pPr>
      <w:r>
        <w:t>Прогноз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MoM</w:t>
            </w:r>
          </w:p>
        </w:tc>
        <w:tc>
          <w:tcPr>
            <w:tcW w:type="dxa" w:w="2880"/>
          </w:tcPr>
          <w:p>
            <w:r>
              <w:t>YoY</w:t>
            </w:r>
          </w:p>
        </w:tc>
      </w:tr>
      <w:tr>
        <w:tc>
          <w:tcPr>
            <w:tcW w:type="dxa" w:w="2880"/>
          </w:tcPr>
          <w:p>
            <w:r>
              <w:t>01.01.2026</w:t>
            </w:r>
          </w:p>
        </w:tc>
        <w:tc>
          <w:tcPr>
            <w:tcW w:type="dxa" w:w="2880"/>
          </w:tcPr>
          <w:p>
            <w:r>
              <w:t>101,57</w:t>
            </w:r>
          </w:p>
        </w:tc>
        <w:tc>
          <w:tcPr>
            <w:tcW w:type="dxa" w:w="2880"/>
          </w:tcPr>
          <w:p>
            <w:r>
              <w:t>106,04</w:t>
            </w:r>
          </w:p>
        </w:tc>
      </w:tr>
      <w:tr>
        <w:tc>
          <w:tcPr>
            <w:tcW w:type="dxa" w:w="2880"/>
          </w:tcPr>
          <w:p>
            <w:r>
              <w:t>01.02.2026</w:t>
            </w:r>
          </w:p>
        </w:tc>
        <w:tc>
          <w:tcPr>
            <w:tcW w:type="dxa" w:w="2880"/>
          </w:tcPr>
          <w:p>
            <w:r>
              <w:t>101,10</w:t>
            </w:r>
          </w:p>
        </w:tc>
        <w:tc>
          <w:tcPr>
            <w:tcW w:type="dxa" w:w="2880"/>
          </w:tcPr>
          <w:p>
            <w:r>
              <w:t>105,79</w:t>
            </w:r>
          </w:p>
        </w:tc>
      </w:tr>
      <w:tr>
        <w:tc>
          <w:tcPr>
            <w:tcW w:type="dxa" w:w="2880"/>
          </w:tcPr>
          <w:p>
            <w:r>
              <w:t>01.03.2026</w:t>
            </w:r>
          </w:p>
        </w:tc>
        <w:tc>
          <w:tcPr>
            <w:tcW w:type="dxa" w:w="2880"/>
          </w:tcPr>
          <w:p>
            <w:r>
              <w:t>100,54</w:t>
            </w:r>
          </w:p>
        </w:tc>
        <w:tc>
          <w:tcPr>
            <w:tcW w:type="dxa" w:w="2880"/>
          </w:tcPr>
          <w:p>
            <w:r>
              <w:t>105,50</w:t>
            </w:r>
          </w:p>
        </w:tc>
      </w:tr>
      <w:tr>
        <w:tc>
          <w:tcPr>
            <w:tcW w:type="dxa" w:w="2880"/>
          </w:tcPr>
          <w:p>
            <w:r>
              <w:t>01.04.2026</w:t>
            </w:r>
          </w:p>
        </w:tc>
        <w:tc>
          <w:tcPr>
            <w:tcW w:type="dxa" w:w="2880"/>
          </w:tcPr>
          <w:p>
            <w:r>
              <w:t>99,72</w:t>
            </w:r>
          </w:p>
        </w:tc>
        <w:tc>
          <w:tcPr>
            <w:tcW w:type="dxa" w:w="2880"/>
          </w:tcPr>
          <w:p>
            <w:r>
              <w:t>104,65</w:t>
            </w:r>
          </w:p>
        </w:tc>
      </w:tr>
      <w:tr>
        <w:tc>
          <w:tcPr>
            <w:tcW w:type="dxa" w:w="2880"/>
          </w:tcPr>
          <w:p>
            <w:r>
              <w:t>01.05.2026</w:t>
            </w:r>
          </w:p>
        </w:tc>
        <w:tc>
          <w:tcPr>
            <w:tcW w:type="dxa" w:w="2880"/>
          </w:tcPr>
          <w:p>
            <w:r>
              <w:t>99,90</w:t>
            </w:r>
          </w:p>
        </w:tc>
        <w:tc>
          <w:tcPr>
            <w:tcW w:type="dxa" w:w="2880"/>
          </w:tcPr>
          <w:p>
            <w:r>
              <w:t>104,62</w:t>
            </w:r>
          </w:p>
        </w:tc>
      </w:tr>
      <w:tr>
        <w:tc>
          <w:tcPr>
            <w:tcW w:type="dxa" w:w="2880"/>
          </w:tcPr>
          <w:p>
            <w:r>
              <w:t>01.06.2026</w:t>
            </w:r>
          </w:p>
        </w:tc>
        <w:tc>
          <w:tcPr>
            <w:tcW w:type="dxa" w:w="2880"/>
          </w:tcPr>
          <w:p>
            <w:r>
              <w:t>100,00</w:t>
            </w:r>
          </w:p>
        </w:tc>
        <w:tc>
          <w:tcPr>
            <w:tcW w:type="dxa" w:w="2880"/>
          </w:tcPr>
          <w:p>
            <w:r>
              <w:t>104,66</w:t>
            </w:r>
          </w:p>
        </w:tc>
      </w:tr>
      <w:tr>
        <w:tc>
          <w:tcPr>
            <w:tcW w:type="dxa" w:w="2880"/>
          </w:tcPr>
          <w:p>
            <w:r>
              <w:t>01.07.2026</w:t>
            </w:r>
          </w:p>
        </w:tc>
        <w:tc>
          <w:tcPr>
            <w:tcW w:type="dxa" w:w="2880"/>
          </w:tcPr>
          <w:p>
            <w:r>
              <w:t>99,90</w:t>
            </w:r>
          </w:p>
        </w:tc>
        <w:tc>
          <w:tcPr>
            <w:tcW w:type="dxa" w:w="2880"/>
          </w:tcPr>
          <w:p>
            <w:r>
              <w:t>104,18</w:t>
            </w:r>
          </w:p>
        </w:tc>
      </w:tr>
      <w:tr>
        <w:tc>
          <w:tcPr>
            <w:tcW w:type="dxa" w:w="2880"/>
          </w:tcPr>
          <w:p>
            <w:r>
              <w:t>01.08.2026</w:t>
            </w:r>
          </w:p>
        </w:tc>
        <w:tc>
          <w:tcPr>
            <w:tcW w:type="dxa" w:w="2880"/>
          </w:tcPr>
          <w:p>
            <w:r>
              <w:t>99,85</w:t>
            </w:r>
          </w:p>
        </w:tc>
        <w:tc>
          <w:tcPr>
            <w:tcW w:type="dxa" w:w="2880"/>
          </w:tcPr>
          <w:p>
            <w:r>
              <w:t>104,62</w:t>
            </w:r>
          </w:p>
        </w:tc>
      </w:tr>
      <w:tr>
        <w:tc>
          <w:tcPr>
            <w:tcW w:type="dxa" w:w="2880"/>
          </w:tcPr>
          <w:p>
            <w:r>
              <w:t>01.09.2026</w:t>
            </w:r>
          </w:p>
        </w:tc>
        <w:tc>
          <w:tcPr>
            <w:tcW w:type="dxa" w:w="2880"/>
          </w:tcPr>
          <w:p>
            <w:r>
              <w:t>100,45</w:t>
            </w:r>
          </w:p>
        </w:tc>
        <w:tc>
          <w:tcPr>
            <w:tcW w:type="dxa" w:w="2880"/>
          </w:tcPr>
          <w:p>
            <w:r>
              <w:t>104,06</w:t>
            </w:r>
          </w:p>
        </w:tc>
      </w:tr>
      <w:tr>
        <w:tc>
          <w:tcPr>
            <w:tcW w:type="dxa" w:w="2880"/>
          </w:tcPr>
          <w:p>
            <w:r>
              <w:t>01.10.2026</w:t>
            </w:r>
          </w:p>
        </w:tc>
        <w:tc>
          <w:tcPr>
            <w:tcW w:type="dxa" w:w="2880"/>
          </w:tcPr>
          <w:p>
            <w:r>
              <w:t>101,15</w:t>
            </w:r>
          </w:p>
        </w:tc>
        <w:tc>
          <w:tcPr>
            <w:tcW w:type="dxa" w:w="2880"/>
          </w:tcPr>
          <w:p>
            <w:r>
              <w:t>104,70</w:t>
            </w:r>
          </w:p>
        </w:tc>
      </w:tr>
      <w:tr>
        <w:tc>
          <w:tcPr>
            <w:tcW w:type="dxa" w:w="2880"/>
          </w:tcPr>
          <w:p>
            <w:r>
              <w:t>01.11.2026</w:t>
            </w:r>
          </w:p>
        </w:tc>
        <w:tc>
          <w:tcPr>
            <w:tcW w:type="dxa" w:w="2880"/>
          </w:tcPr>
          <w:p>
            <w:r>
              <w:t>100,25</w:t>
            </w:r>
          </w:p>
        </w:tc>
        <w:tc>
          <w:tcPr>
            <w:tcW w:type="dxa" w:w="2880"/>
          </w:tcPr>
          <w:p>
            <w:r>
              <w:t>104,80</w:t>
            </w:r>
          </w:p>
        </w:tc>
      </w:tr>
      <w:tr>
        <w:tc>
          <w:tcPr>
            <w:tcW w:type="dxa" w:w="2880"/>
          </w:tcPr>
          <w:p>
            <w:r>
              <w:t>01.12.2026</w:t>
            </w:r>
          </w:p>
        </w:tc>
        <w:tc>
          <w:tcPr>
            <w:tcW w:type="dxa" w:w="2880"/>
          </w:tcPr>
          <w:p>
            <w:r>
              <w:t>100,30</w:t>
            </w:r>
          </w:p>
        </w:tc>
        <w:tc>
          <w:tcPr>
            <w:tcW w:type="dxa" w:w="2880"/>
          </w:tcPr>
          <w:p>
            <w:r>
              <w:t>104,81</w:t>
            </w:r>
          </w:p>
        </w:tc>
      </w:tr>
      <w:tr>
        <w:tc>
          <w:tcPr>
            <w:tcW w:type="dxa" w:w="2880"/>
          </w:tcPr>
          <w:p>
            <w:r>
              <w:t>01.01.2027</w:t>
            </w:r>
          </w:p>
        </w:tc>
        <w:tc>
          <w:tcPr>
            <w:tcW w:type="dxa" w:w="2880"/>
          </w:tcPr>
          <w:p>
            <w:r>
              <w:t>100,95</w:t>
            </w:r>
          </w:p>
        </w:tc>
        <w:tc>
          <w:tcPr>
            <w:tcW w:type="dxa" w:w="2880"/>
          </w:tcPr>
          <w:p>
            <w:r>
              <w:t>104,17</w:t>
            </w:r>
          </w:p>
        </w:tc>
      </w:tr>
      <w:tr>
        <w:tc>
          <w:tcPr>
            <w:tcW w:type="dxa" w:w="2880"/>
          </w:tcPr>
          <w:p>
            <w:r>
              <w:t>01.02.2027</w:t>
            </w:r>
          </w:p>
        </w:tc>
        <w:tc>
          <w:tcPr>
            <w:tcW w:type="dxa" w:w="2880"/>
          </w:tcPr>
          <w:p>
            <w:r>
              <w:t>100,65</w:t>
            </w:r>
          </w:p>
        </w:tc>
        <w:tc>
          <w:tcPr>
            <w:tcW w:type="dxa" w:w="2880"/>
          </w:tcPr>
          <w:p>
            <w:r>
              <w:t>103,71</w:t>
            </w:r>
          </w:p>
        </w:tc>
      </w:tr>
      <w:tr>
        <w:tc>
          <w:tcPr>
            <w:tcW w:type="dxa" w:w="2880"/>
          </w:tcPr>
          <w:p>
            <w:r>
              <w:t>01.03.2027</w:t>
            </w:r>
          </w:p>
        </w:tc>
        <w:tc>
          <w:tcPr>
            <w:tcW w:type="dxa" w:w="2880"/>
          </w:tcPr>
          <w:p>
            <w:r>
              <w:t>100,50</w:t>
            </w:r>
          </w:p>
        </w:tc>
        <w:tc>
          <w:tcPr>
            <w:tcW w:type="dxa" w:w="2880"/>
          </w:tcPr>
          <w:p>
            <w:r>
              <w:t>103,67</w:t>
            </w:r>
          </w:p>
        </w:tc>
      </w:tr>
      <w:tr>
        <w:tc>
          <w:tcPr>
            <w:tcW w:type="dxa" w:w="2880"/>
          </w:tcPr>
          <w:p>
            <w:r>
              <w:t>01.04.2027</w:t>
            </w:r>
          </w:p>
        </w:tc>
        <w:tc>
          <w:tcPr>
            <w:tcW w:type="dxa" w:w="2880"/>
          </w:tcPr>
          <w:p>
            <w:r>
              <w:t>100,45</w:t>
            </w:r>
          </w:p>
        </w:tc>
        <w:tc>
          <w:tcPr>
            <w:tcW w:type="dxa" w:w="2880"/>
          </w:tcPr>
          <w:p>
            <w:r>
              <w:t>104,43</w:t>
            </w:r>
          </w:p>
        </w:tc>
      </w:tr>
      <w:tr>
        <w:tc>
          <w:tcPr>
            <w:tcW w:type="dxa" w:w="2880"/>
          </w:tcPr>
          <w:p>
            <w:r>
              <w:t>01.05.2027</w:t>
            </w:r>
          </w:p>
        </w:tc>
        <w:tc>
          <w:tcPr>
            <w:tcW w:type="dxa" w:w="2880"/>
          </w:tcPr>
          <w:p>
            <w:r>
              <w:t>100,20</w:t>
            </w:r>
          </w:p>
        </w:tc>
        <w:tc>
          <w:tcPr>
            <w:tcW w:type="dxa" w:w="2880"/>
          </w:tcPr>
          <w:p>
            <w:r>
              <w:t>104,74</w:t>
            </w:r>
          </w:p>
        </w:tc>
      </w:tr>
      <w:tr>
        <w:tc>
          <w:tcPr>
            <w:tcW w:type="dxa" w:w="2880"/>
          </w:tcPr>
          <w:p>
            <w:r>
              <w:t>01.06.2027</w:t>
            </w:r>
          </w:p>
        </w:tc>
        <w:tc>
          <w:tcPr>
            <w:tcW w:type="dxa" w:w="2880"/>
          </w:tcPr>
          <w:p>
            <w:r>
              <w:t>100,10</w:t>
            </w:r>
          </w:p>
        </w:tc>
        <w:tc>
          <w:tcPr>
            <w:tcW w:type="dxa" w:w="2880"/>
          </w:tcPr>
          <w:p>
            <w:r>
              <w:t>104,84</w:t>
            </w:r>
          </w:p>
        </w:tc>
      </w:tr>
      <w:tr>
        <w:tc>
          <w:tcPr>
            <w:tcW w:type="dxa" w:w="2880"/>
          </w:tcPr>
          <w:p>
            <w:r>
              <w:t>01.07.2027</w:t>
            </w:r>
          </w:p>
        </w:tc>
        <w:tc>
          <w:tcPr>
            <w:tcW w:type="dxa" w:w="2880"/>
          </w:tcPr>
          <w:p>
            <w:r>
              <w:t>100,05</w:t>
            </w:r>
          </w:p>
        </w:tc>
        <w:tc>
          <w:tcPr>
            <w:tcW w:type="dxa" w:w="2880"/>
          </w:tcPr>
          <w:p>
            <w:r>
              <w:t>105,00</w:t>
            </w:r>
          </w:p>
        </w:tc>
      </w:tr>
      <w:tr>
        <w:tc>
          <w:tcPr>
            <w:tcW w:type="dxa" w:w="2880"/>
          </w:tcPr>
          <w:p>
            <w:r>
              <w:t>01.08.2027</w:t>
            </w:r>
          </w:p>
        </w:tc>
        <w:tc>
          <w:tcPr>
            <w:tcW w:type="dxa" w:w="2880"/>
          </w:tcPr>
          <w:p>
            <w:r>
              <w:t>99,95</w:t>
            </w:r>
          </w:p>
        </w:tc>
        <w:tc>
          <w:tcPr>
            <w:tcW w:type="dxa" w:w="2880"/>
          </w:tcPr>
          <w:p>
            <w:r>
              <w:t>105,11</w:t>
            </w:r>
          </w:p>
        </w:tc>
      </w:tr>
      <w:tr>
        <w:tc>
          <w:tcPr>
            <w:tcW w:type="dxa" w:w="2880"/>
          </w:tcPr>
          <w:p>
            <w:r>
              <w:t>01.09.2027</w:t>
            </w:r>
          </w:p>
        </w:tc>
        <w:tc>
          <w:tcPr>
            <w:tcW w:type="dxa" w:w="2880"/>
          </w:tcPr>
          <w:p>
            <w:r>
              <w:t>100,45</w:t>
            </w:r>
          </w:p>
        </w:tc>
        <w:tc>
          <w:tcPr>
            <w:tcW w:type="dxa" w:w="2880"/>
          </w:tcPr>
          <w:p>
            <w:r>
              <w:t>105,11</w:t>
            </w:r>
          </w:p>
        </w:tc>
      </w:tr>
      <w:tr>
        <w:tc>
          <w:tcPr>
            <w:tcW w:type="dxa" w:w="2880"/>
          </w:tcPr>
          <w:p>
            <w:r>
              <w:t>01.10.2027</w:t>
            </w:r>
          </w:p>
        </w:tc>
        <w:tc>
          <w:tcPr>
            <w:tcW w:type="dxa" w:w="2880"/>
          </w:tcPr>
          <w:p>
            <w:r>
              <w:t>100,45</w:t>
            </w:r>
          </w:p>
        </w:tc>
        <w:tc>
          <w:tcPr>
            <w:tcW w:type="dxa" w:w="2880"/>
          </w:tcPr>
          <w:p>
            <w:r>
              <w:t>104,38</w:t>
            </w:r>
          </w:p>
        </w:tc>
      </w:tr>
      <w:tr>
        <w:tc>
          <w:tcPr>
            <w:tcW w:type="dxa" w:w="2880"/>
          </w:tcPr>
          <w:p>
            <w:r>
              <w:t>01.11.2027</w:t>
            </w:r>
          </w:p>
        </w:tc>
        <w:tc>
          <w:tcPr>
            <w:tcW w:type="dxa" w:w="2880"/>
          </w:tcPr>
          <w:p>
            <w:r>
              <w:t>100,20</w:t>
            </w:r>
          </w:p>
        </w:tc>
        <w:tc>
          <w:tcPr>
            <w:tcW w:type="dxa" w:w="2880"/>
          </w:tcPr>
          <w:p>
            <w:r>
              <w:t>104,33</w:t>
            </w:r>
          </w:p>
        </w:tc>
      </w:tr>
      <w:tr>
        <w:tc>
          <w:tcPr>
            <w:tcW w:type="dxa" w:w="2880"/>
          </w:tcPr>
          <w:p>
            <w:r>
              <w:t>01.12.2027</w:t>
            </w:r>
          </w:p>
        </w:tc>
        <w:tc>
          <w:tcPr>
            <w:tcW w:type="dxa" w:w="2880"/>
          </w:tcPr>
          <w:p>
            <w:r>
              <w:t>100,00</w:t>
            </w:r>
          </w:p>
        </w:tc>
        <w:tc>
          <w:tcPr>
            <w:tcW w:type="dxa" w:w="2880"/>
          </w:tcPr>
          <w:p>
            <w:r>
              <w:t>104,02</w:t>
            </w:r>
          </w:p>
        </w:tc>
      </w:tr>
    </w:tbl>
    <w:p>
      <w:pPr>
        <w:pStyle w:val="Heading1"/>
      </w:pPr>
      <w:r>
        <w:t>Интерпретация</w:t>
      </w:r>
    </w:p>
    <w:p>
      <w:r>
        <w:t>Основное изменение профиля связано с апрельско-майской продовольственной дефляцией. Снижение огурцов, помидоров и яиц оказалось сильным, но по данным на 18 мая часть падения компенсируется ростом капусты, лука, круп, мясных изделий, отдельных непродовольственных товаров и услуг. Поэтому наиболее вероятный майский индекс сейчас ближе к 99,9, а не к более глубоким дефляционным сценариям.</w:t>
      </w:r>
    </w:p>
    <w:p>
      <w:r>
        <w:t>В июне сохраняется риск продовольственной слабости, однако большая часть раннего плодоовощного снижения уже реализована. Центральная оценка июня — около 100,0. Далее прогноз предполагает постепенную нормализацию и частичный возврат продовольственных цен, особенно после летнего минимума.</w:t>
      </w:r>
    </w:p>
    <w:p>
      <w:r>
        <w:t>Курс рубля на 21 мая около 71 за доллар является дезинфляционным фактором через импортные и торгуемые товары. Одновременно это может быть связано с падением импорта; в дальнейшем возможен частичный рост доллара, но неопределённость высокая, поэтому валютный разворот заложен мягко, без резкого переноса в месячные индексы.</w:t>
      </w:r>
    </w:p>
    <w:p>
      <w:pPr>
        <w:pStyle w:val="Heading1"/>
      </w:pPr>
      <w:r>
        <w:t>Пояснения терминов для руководства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Термин</w:t>
            </w:r>
          </w:p>
        </w:tc>
        <w:tc>
          <w:tcPr>
            <w:tcW w:type="dxa" w:w="4320"/>
          </w:tcPr>
          <w:p>
            <w:r>
              <w:t>Простое пояснение</w:t>
            </w:r>
          </w:p>
        </w:tc>
      </w:tr>
      <w:tr>
        <w:tc>
          <w:tcPr>
            <w:tcW w:type="dxa" w:w="4320"/>
          </w:tcPr>
          <w:p>
            <w:r>
              <w:t>Индекс MoM</w:t>
            </w:r>
          </w:p>
        </w:tc>
        <w:tc>
          <w:tcPr>
            <w:tcW w:type="dxa" w:w="4320"/>
          </w:tcPr>
          <w:p>
            <w:r>
              <w:t>Индекс к предыдущему месяцу. Значение 100,20 означает рост цен на 0,20% за месяц; 99,90 — снижение на 0,10%.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Индекс к тому же месяцу прошлого года. Значение 104,02 означает, что цены примерно на 4,02% выше, чем годом ранее.</w:t>
            </w:r>
          </w:p>
        </w:tc>
      </w:tr>
      <w:tr>
        <w:tc>
          <w:tcPr>
            <w:tcW w:type="dxa" w:w="4320"/>
          </w:tcPr>
          <w:p>
            <w:r>
              <w:t>п.п.</w:t>
            </w:r>
          </w:p>
        </w:tc>
        <w:tc>
          <w:tcPr>
            <w:tcW w:type="dxa" w:w="4320"/>
          </w:tcPr>
          <w:p>
            <w:r>
              <w:t>Процентный пункт. Например, ошибка прогноза с +0,45% до -0,28% равна 0,73 п.п., а не 0,73%.</w:t>
            </w:r>
          </w:p>
        </w:tc>
      </w:tr>
      <w:tr>
        <w:tc>
          <w:tcPr>
            <w:tcW w:type="dxa" w:w="4320"/>
          </w:tcPr>
          <w:p>
            <w:r>
              <w:t>Nowcast</w:t>
            </w:r>
          </w:p>
        </w:tc>
        <w:tc>
          <w:tcPr>
            <w:tcW w:type="dxa" w:w="4320"/>
          </w:tcPr>
          <w:p>
            <w:r>
              <w:t>Оперативная оценка текущего месяца до выхода официального факта. В данном случае строится по недельным ценам.</w:t>
            </w:r>
          </w:p>
        </w:tc>
      </w:tr>
      <w:tr>
        <w:tc>
          <w:tcPr>
            <w:tcW w:type="dxa" w:w="4320"/>
          </w:tcPr>
          <w:p>
            <w:r>
              <w:t>Weekly signal</w:t>
            </w:r>
          </w:p>
        </w:tc>
        <w:tc>
          <w:tcPr>
            <w:tcW w:type="dxa" w:w="4320"/>
          </w:tcPr>
          <w:p>
            <w:r>
              <w:t>Сигнал из недельных цен. Он показывает, что происходит внутри месяца, но не является официальным месячным фактом.</w:t>
            </w:r>
          </w:p>
        </w:tc>
      </w:tr>
      <w:tr>
        <w:tc>
          <w:tcPr>
            <w:tcW w:type="dxa" w:w="4320"/>
          </w:tcPr>
          <w:p>
            <w:r>
              <w:t>Последняя неделя как уровень месяца</w:t>
            </w:r>
          </w:p>
        </w:tc>
        <w:tc>
          <w:tcPr>
            <w:tcW w:type="dxa" w:w="4320"/>
          </w:tcPr>
          <w:p>
            <w:r>
              <w:t>Для многих товарных рядов итоговый месячный индекс ближе к сравнению цен последней недели месяца с последней неделей предыдущего месяца, а не к простой сумме недельных изменений.</w:t>
            </w:r>
          </w:p>
        </w:tc>
      </w:tr>
      <w:tr>
        <w:tc>
          <w:tcPr>
            <w:tcW w:type="dxa" w:w="4320"/>
          </w:tcPr>
          <w:p>
            <w:r>
              <w:t>SA / сезонно скорректированный ряд</w:t>
            </w:r>
          </w:p>
        </w:tc>
        <w:tc>
          <w:tcPr>
            <w:tcW w:type="dxa" w:w="4320"/>
          </w:tcPr>
          <w:p>
            <w:r>
              <w:t>Ряд, очищенный от типичной календарной сезонности. Если SA-ряд тоже снижается, это признак не только обычного сезона, но и более сильного текущего импульса.</w:t>
            </w:r>
          </w:p>
        </w:tc>
      </w:tr>
      <w:tr>
        <w:tc>
          <w:tcPr>
            <w:tcW w:type="dxa" w:w="4320"/>
          </w:tcPr>
          <w:p>
            <w:r>
              <w:t>Компонентный вклад</w:t>
            </w:r>
          </w:p>
        </w:tc>
        <w:tc>
          <w:tcPr>
            <w:tcW w:type="dxa" w:w="4320"/>
          </w:tcPr>
          <w:p>
            <w:r>
              <w:t>Оценка того, сколько компонент добавил к общему ИПЦ: изменение компонента × его вес в корзине.</w:t>
            </w:r>
          </w:p>
        </w:tc>
      </w:tr>
      <w:tr>
        <w:tc>
          <w:tcPr>
            <w:tcW w:type="dxa" w:w="4320"/>
          </w:tcPr>
          <w:p>
            <w:r>
              <w:t>Вес компонента</w:t>
            </w:r>
          </w:p>
        </w:tc>
        <w:tc>
          <w:tcPr>
            <w:tcW w:type="dxa" w:w="4320"/>
          </w:tcPr>
          <w:p>
            <w:r>
              <w:t>Доля компонента в потребительской корзине. Чем выше вес, тем сильнее влияние компонента на общий ИПЦ.</w:t>
            </w:r>
          </w:p>
        </w:tc>
      </w:tr>
      <w:tr>
        <w:tc>
          <w:tcPr>
            <w:tcW w:type="dxa" w:w="4320"/>
          </w:tcPr>
          <w:p>
            <w:r>
              <w:t>Food shock</w:t>
            </w:r>
          </w:p>
        </w:tc>
        <w:tc>
          <w:tcPr>
            <w:tcW w:type="dxa" w:w="4320"/>
          </w:tcPr>
          <w:p>
            <w:r>
              <w:t>Нестандартное движение продовольственных цен, которое существенно меняет общий прогноз. В мае 2026 это прежде всего огурцы, помидоры и яйца.</w:t>
            </w:r>
          </w:p>
        </w:tc>
      </w:tr>
      <w:tr>
        <w:tc>
          <w:tcPr>
            <w:tcW w:type="dxa" w:w="4320"/>
          </w:tcPr>
          <w:p>
            <w:r>
              <w:t>Ансамбль моделей</w:t>
            </w:r>
          </w:p>
        </w:tc>
        <w:tc>
          <w:tcPr>
            <w:tcW w:type="dxa" w:w="4320"/>
          </w:tcPr>
          <w:p>
            <w:r>
              <w:t>Средневзвешенный прогноз нескольких моделей. Он устойчивее одной модели, но может запаздывать при резких изменениях, например при продовольственном шоке или переносе тарифов.</w:t>
            </w:r>
          </w:p>
        </w:tc>
      </w:tr>
      <w:tr>
        <w:tc>
          <w:tcPr>
            <w:tcW w:type="dxa" w:w="4320"/>
          </w:tcPr>
          <w:p>
            <w:r>
              <w:t>Экспертная корректировка</w:t>
            </w:r>
          </w:p>
        </w:tc>
        <w:tc>
          <w:tcPr>
            <w:tcW w:type="dxa" w:w="4320"/>
          </w:tcPr>
          <w:p>
            <w:r>
              <w:t>Ручная корректировка модельного прогноза на известные факторы, которые модель могла не учесть: перенос тарифов, свежие недельные цены, изменение курса.</w:t>
            </w:r>
          </w:p>
        </w:tc>
      </w:tr>
      <w:tr>
        <w:tc>
          <w:tcPr>
            <w:tcW w:type="dxa" w:w="4320"/>
          </w:tcPr>
          <w:p>
            <w:r>
              <w:t>Сценарный диапазон</w:t>
            </w:r>
          </w:p>
        </w:tc>
        <w:tc>
          <w:tcPr>
            <w:tcW w:type="dxa" w:w="4320"/>
          </w:tcPr>
          <w:p>
            <w:r>
              <w:t>Низкая и высокая границы прогноза при разных вариантах развития событий. Это не ошибка расчёта, а способ показать неопределённость.</w:t>
            </w:r>
          </w:p>
        </w:tc>
      </w:tr>
      <w:tr>
        <w:tc>
          <w:tcPr>
            <w:tcW w:type="dxa" w:w="4320"/>
          </w:tcPr>
          <w:p>
            <w:r>
              <w:t>Тарифный перенос</w:t>
            </w:r>
          </w:p>
        </w:tc>
        <w:tc>
          <w:tcPr>
            <w:tcW w:type="dxa" w:w="4320"/>
          </w:tcPr>
          <w:p>
            <w:r>
              <w:t>Изменение календаря индексации регулируемых услуг. В 2026 году июльская индексация не закладывается, основной эффект переносится на октябрь.</w:t>
            </w:r>
          </w:p>
        </w:tc>
      </w:tr>
      <w:tr>
        <w:tc>
          <w:tcPr>
            <w:tcW w:type="dxa" w:w="4320"/>
          </w:tcPr>
          <w:p>
            <w:r>
              <w:t>Дезинфляционный фактор</w:t>
            </w:r>
          </w:p>
        </w:tc>
        <w:tc>
          <w:tcPr>
            <w:tcW w:type="dxa" w:w="4320"/>
          </w:tcPr>
          <w:p>
            <w:r>
              <w:t>Фактор, который снижает темп роста цен. Крепкий рубль может временно сдерживать импортные и торгуемые товары.</w:t>
            </w:r>
          </w:p>
        </w:tc>
      </w:tr>
      <w:tr>
        <w:tc>
          <w:tcPr>
            <w:tcW w:type="dxa" w:w="4320"/>
          </w:tcPr>
          <w:p>
            <w:r>
              <w:t>Возврат цен / rebound</w:t>
            </w:r>
          </w:p>
        </w:tc>
        <w:tc>
          <w:tcPr>
            <w:tcW w:type="dxa" w:w="4320"/>
          </w:tcPr>
          <w:p>
            <w:r>
              <w:t>Частичный рост после резкого снижения. После падения овощей и яиц возможен обратный ход, поэтому прогноз не должен механически продолжать падение бесконечно.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