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прогноз-ипц-кбр-апрель-2026-декабрь-2027"/>
    <w:p>
      <w:pPr>
        <w:pStyle w:val="Heading1"/>
      </w:pPr>
      <w:r>
        <w:t xml:space="preserve">Прогноз ИПЦ КБР: апрель 2026 — декабрь 2027</w:t>
      </w:r>
    </w:p>
    <w:bookmarkStart w:id="20" w:name="входные-данные-за-март-2026"/>
    <w:p>
      <w:pPr>
        <w:pStyle w:val="Heading2"/>
      </w:pPr>
      <w:r>
        <w:t xml:space="preserve">Входные данные за март 2026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Прогноз на март 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Финальный nowcast марта 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signal марта 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</w:t>
            </w:r>
          </w:p>
        </w:tc>
      </w:tr>
    </w:tbl>
    <w:bookmarkEnd w:id="20"/>
    <w:bookmarkStart w:id="21" w:name="прогноз-апрельдекабрь-2026"/>
    <w:p>
      <w:pPr>
        <w:pStyle w:val="Heading2"/>
      </w:pPr>
      <w:r>
        <w:t xml:space="preserve">Прогноз: апрель–декабрь 2026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Месяц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Выбранный прогноз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Модели (ансамбль)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Latest model series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Апр 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Май 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Июн 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Июл 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Авг 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Сен 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Окт 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Ноя 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Дек 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bookmarkEnd w:id="21"/>
    <w:bookmarkStart w:id="22" w:name="прогноз-январьдекабрь-2027"/>
    <w:p>
      <w:pPr>
        <w:pStyle w:val="Heading2"/>
      </w:pPr>
      <w:r>
        <w:t xml:space="preserve">Прогноз: январь–декабрь 2027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Месяц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Прогноз MoM,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Янв 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Фев 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Мар 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Апр 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Май 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Июн 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Июл 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Авг 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Сен 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Окт 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Ноя 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Дек 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</w:tr>
    </w:tbl>
    <w:bookmarkEnd w:id="22"/>
    <w:bookmarkStart w:id="23" w:name="варианты-моделей-на-апрель-2026"/>
    <w:p>
      <w:pPr>
        <w:pStyle w:val="Heading2"/>
      </w:pPr>
      <w:r>
        <w:t xml:space="preserve">Варианты моделей на апрель 2026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Прогноз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Ridge_Ext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Ridge_Shock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ElasticNet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Huber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NGBoost_Shock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Prophet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Subcomp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Subcomp_Multi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0.327</w:t>
            </w:r>
          </w:p>
        </w:tc>
      </w:tr>
    </w:tbl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2026-04-24T13:56:19Z</dcterms:created>
  <dcterms:modified xsi:type="dcterms:W3CDTF">2026-04-24T13:56:19Z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