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ОПР 10.2026: скорректированная траектория инфляции КБР</w:t>
      </w:r>
    </w:p>
    <w:p>
      <w:r>
        <w:t>Расчёт на 28.09.2026. Последний официальный месяц — август 2026; недельные цены — по 21 сентября. Сентябрь +0,50%, октябрь +1,37%, ноябрь +0,90%, декабрь +0,96% м/м. Конец 2026 года: +9,09% г/г. Конец 2027 года: +4,39% г/г.</w:t>
      </w:r>
    </w:p>
    <w:p>
      <w:r>
        <w:t>2027 год — условный сценарий выхода вблизи цели, заданный пользователем, с небольшим региональным превышением. Это не результат независимой статистической модели и не обещание достижения цели. Модельный Ensemble сохранён отдельно; первый экспертный вариант 28 сентября давал +6,96% на конец 2027 года и остаётся контрольным сценарием более устойчивого давления.</w:t>
      </w:r>
    </w:p>
    <w:p>
      <w:pPr>
        <w:pStyle w:val="Heading2"/>
      </w:pPr>
      <w:r>
        <w:t>База сравнения: именно ОПР 09.2026</w:t>
      </w:r>
    </w:p>
    <w:p>
      <w:r>
        <w:t>Восстановлена книга из коммита ed25ddf663d982795f16458c4418ddb367fcb33a от 01.09.2026: основной лист «Прогноз», столбцы E:F. В документации проекта эта ревизия связана с отправочной траекторией ПР3. Копия сохранена как OPR092026_source.xlsx. Старые G:H действующей книги относились к маю и не использовались как сентябрьский прогноз.</w:t>
      </w:r>
    </w:p>
    <w:p>
      <w:r>
        <w:t>В сентябрьском ОПР были октябрь +1,30%, ноябрь +0,45%, декабрь +0,50%; конец 2027 года +4,02%. В новой форме E:F содержат ОПР10, G:H — замороженную версию ОПР09. Обновлены даты версий и кэши формул годовой инфляции; остальные части XLSX сохранены.</w:t>
      </w:r>
    </w:p>
    <w:p>
      <w:r>
        <w:t>Для сравнения годовых темпов нужно различать изменение прогноза и изменение фактов. В сентябрьской книге конец 2026 года был +8,56%; при той же будущей MoM-траектории, но сегодняшних месячных фактах, получилось бы +8,04%. Новый вариант +9,09% выше этого сопоставимого ориентира примерно на 1,06 п.п. Обе версии годовых показателей сохранены в Excel.</w:t>
      </w:r>
    </w:p>
    <w:p>
      <w:pPr>
        <w:pStyle w:val="Heading2"/>
      </w:pPr>
      <w:r>
        <w:t>Октябрь–ноябрь: товарные уровни и издержки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Составляющая, п.п. общего ИПЦ</w:t>
            </w:r>
          </w:p>
        </w:tc>
        <w:tc>
          <w:tcPr>
            <w:tcW w:type="dxa" w:w="2880"/>
          </w:tcPr>
          <w:p>
            <w:r>
              <w:t>Октябрь</w:t>
            </w:r>
          </w:p>
        </w:tc>
        <w:tc>
          <w:tcPr>
            <w:tcW w:type="dxa" w:w="2880"/>
          </w:tcPr>
          <w:p>
            <w:r>
              <w:t>Ноябрь</w:t>
            </w:r>
          </w:p>
        </w:tc>
      </w:tr>
      <w:tr>
        <w:tc>
          <w:tcPr>
            <w:tcW w:type="dxa" w:w="2880"/>
          </w:tcPr>
          <w:p>
            <w:r>
              <w:t>Модельный Ensemble</w:t>
            </w:r>
          </w:p>
        </w:tc>
        <w:tc>
          <w:tcPr>
            <w:tcW w:type="dxa" w:w="2880"/>
          </w:tcPr>
          <w:p>
            <w:r>
              <w:t>0,5868</w:t>
            </w:r>
          </w:p>
        </w:tc>
        <w:tc>
          <w:tcPr>
            <w:tcW w:type="dxa" w:w="2880"/>
          </w:tcPr>
          <w:p>
            <w:r>
              <w:t>0,7728</w:t>
            </w:r>
          </w:p>
        </w:tc>
      </w:tr>
      <w:tr>
        <w:tc>
          <w:tcPr>
            <w:tcW w:type="dxa" w:w="2880"/>
          </w:tcPr>
          <w:p>
            <w:r>
              <w:t>Поправка коммунальных тарифов</w:t>
            </w:r>
          </w:p>
        </w:tc>
        <w:tc>
          <w:tcPr>
            <w:tcW w:type="dxa" w:w="2880"/>
          </w:tcPr>
          <w:p>
            <w:r>
              <w:t>0,5898</w:t>
            </w:r>
          </w:p>
        </w:tc>
        <w:tc>
          <w:tcPr>
            <w:tcW w:type="dxa" w:w="2880"/>
          </w:tcPr>
          <w:p>
            <w:r>
              <w:t>0,0000</w:t>
            </w:r>
          </w:p>
        </w:tc>
      </w:tr>
      <w:tr>
        <w:tc>
          <w:tcPr>
            <w:tcW w:type="dxa" w:w="2880"/>
          </w:tcPr>
          <w:p>
            <w:r>
              <w:t>Совокупная экспертная надбавка на топливо, логистику и перенос затрат</w:t>
            </w:r>
          </w:p>
        </w:tc>
        <w:tc>
          <w:tcPr>
            <w:tcW w:type="dxa" w:w="2880"/>
          </w:tcPr>
          <w:p>
            <w:r>
              <w:t>0,1500</w:t>
            </w:r>
          </w:p>
        </w:tc>
        <w:tc>
          <w:tcPr>
            <w:tcW w:type="dxa" w:w="2880"/>
          </w:tcPr>
          <w:p>
            <w:r>
              <w:t>0,1000</w:t>
            </w:r>
          </w:p>
        </w:tc>
      </w:tr>
      <w:tr>
        <w:tc>
          <w:tcPr>
            <w:tcW w:type="dxa" w:w="2880"/>
          </w:tcPr>
          <w:p>
            <w:r>
              <w:t>Дополнительная проверка товарной сезонности</w:t>
            </w:r>
          </w:p>
        </w:tc>
        <w:tc>
          <w:tcPr>
            <w:tcW w:type="dxa" w:w="2880"/>
          </w:tcPr>
          <w:p>
            <w:r>
              <w:t>0,0425</w:t>
            </w:r>
          </w:p>
        </w:tc>
        <w:tc>
          <w:tcPr>
            <w:tcW w:type="dxa" w:w="2880"/>
          </w:tcPr>
          <w:p>
            <w:r>
              <w:t>0,0312</w:t>
            </w:r>
          </w:p>
        </w:tc>
      </w:tr>
      <w:tr>
        <w:tc>
          <w:tcPr>
            <w:tcW w:type="dxa" w:w="2880"/>
          </w:tcPr>
          <w:p>
            <w:r>
              <w:t>До округления</w:t>
            </w:r>
          </w:p>
        </w:tc>
        <w:tc>
          <w:tcPr>
            <w:tcW w:type="dxa" w:w="2880"/>
          </w:tcPr>
          <w:p>
            <w:r>
              <w:t>1,3691</w:t>
            </w:r>
          </w:p>
        </w:tc>
        <w:tc>
          <w:tcPr>
            <w:tcW w:type="dxa" w:w="2880"/>
          </w:tcPr>
          <w:p>
            <w:r>
              <w:t>0,9039</w:t>
            </w:r>
          </w:p>
        </w:tc>
      </w:tr>
      <w:tr>
        <w:tc>
          <w:tcPr>
            <w:tcW w:type="dxa" w:w="2880"/>
          </w:tcPr>
          <w:p>
            <w:r>
              <w:t>Рабочая точка</w:t>
            </w:r>
          </w:p>
        </w:tc>
        <w:tc>
          <w:tcPr>
            <w:tcW w:type="dxa" w:w="2880"/>
          </w:tcPr>
          <w:p>
            <w:r>
              <w:t>1,37</w:t>
            </w:r>
          </w:p>
        </w:tc>
        <w:tc>
          <w:tcPr>
            <w:tcW w:type="dxa" w:w="2880"/>
          </w:tcPr>
          <w:p>
            <w:r>
              <w:t>0,90</w:t>
            </w:r>
          </w:p>
        </w:tc>
      </w:tr>
    </w:tbl>
    <w:p>
      <w:r>
        <w:t>Октябрьский тарифный ориентир уточнён с условных 10% до 9,9% по Минэкономразвития. Он применяется только к весу коммунальных услуг 5,958%, а не ко всем услугам. Из модельной календарной части вычитается исторический медианный октябрьский коммунальный темп; в использованной истории он равен нулю. Идентифицировать точную тарифную часть нелинейного Ensemble невозможно: это прозрачная приближённая экспертная поправка.</w:t>
      </w:r>
    </w:p>
    <w:p>
      <w:r>
        <w:t>Недельные данные показывают сильное подорожание бензина. В Micro на октябрь всё ещё заложено около −3,4% по АИ-92 и АИ-95. При стабильных ценах их вклад относительно Micro был бы выше на 0,087 п.п. в октябре и 0,030 п.п. в ноябре. Эти величины не прибавлены повторно поверх надбавки 0,15/0,10: Micro не входит в Ensemble, а надбавка уже представляет общий бюджет риска топлива и переноса затрат. Разделить этот бюджет на точно оценённые причинные эффекты имеющиеся данные не позволяют.</w:t>
      </w:r>
    </w:p>
    <w:p>
      <w:r>
        <w:t>Декабрь +0,96% сохраняет ближайший модельный ориентир +0,9044% и остаточную надбавку издержек 0,06 п.п. Возврат к старым +0,50% сейчас требовал бы более сильных доказательств замедления. Снижение годового показателя в 2027 году не достигается искусственным занижением декабря 2026.</w:t>
      </w:r>
    </w:p>
    <w:p>
      <w:pPr>
        <w:pStyle w:val="Heading3"/>
      </w:pPr>
      <w:r>
        <w:t>Что означает «потолок» товарной цены</w:t>
      </w:r>
    </w:p>
    <w:p>
      <w:r>
        <w:t>Используются сезонные ориентиры, а не абсолютные запреты на дальнейший рост. Для девяти наблюдаемых позиций (плодоовощи и яйца) сопоставлены изменения от конца сентября до конца октября/ноября в 2023–2025 годах. Медианный относительный рост объединён с накопленным прогнозом Micro с равными весами в логарифмах. Такой вес выбран для сценария, не оценён по бэктесту. Поправка к общей инфляции — сумма разностей товарных темпов с текущими весами. Её применение к экспертной траектории — отдельное допущение; это не точная декомпозиция Ensemble.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Цена, руб. за кг; яйца за 10 шт.</w:t>
            </w:r>
          </w:p>
        </w:tc>
        <w:tc>
          <w:tcPr>
            <w:tcW w:type="dxa" w:w="2160"/>
          </w:tcPr>
          <w:p>
            <w:r>
              <w:t>21 сентября</w:t>
            </w:r>
          </w:p>
        </w:tc>
        <w:tc>
          <w:tcPr>
            <w:tcW w:type="dxa" w:w="2160"/>
          </w:tcPr>
          <w:p>
            <w:r>
              <w:t>Условный октябрь</w:t>
            </w:r>
          </w:p>
        </w:tc>
        <w:tc>
          <w:tcPr>
            <w:tcW w:type="dxa" w:w="2160"/>
          </w:tcPr>
          <w:p>
            <w:r>
              <w:t>Условный ноябрь</w:t>
            </w:r>
          </w:p>
        </w:tc>
      </w:tr>
      <w:tr>
        <w:tc>
          <w:tcPr>
            <w:tcW w:type="dxa" w:w="2160"/>
          </w:tcPr>
          <w:p>
            <w:r>
              <w:t>Картофель</w:t>
            </w:r>
          </w:p>
        </w:tc>
        <w:tc>
          <w:tcPr>
            <w:tcW w:type="dxa" w:w="2160"/>
          </w:tcPr>
          <w:p>
            <w:r>
              <w:t>45,37</w:t>
            </w:r>
          </w:p>
        </w:tc>
        <w:tc>
          <w:tcPr>
            <w:tcW w:type="dxa" w:w="2160"/>
          </w:tcPr>
          <w:p>
            <w:r>
              <w:t>45,06</w:t>
            </w:r>
          </w:p>
        </w:tc>
        <w:tc>
          <w:tcPr>
            <w:tcW w:type="dxa" w:w="2160"/>
          </w:tcPr>
          <w:p>
            <w:r>
              <w:t>46,59</w:t>
            </w:r>
          </w:p>
        </w:tc>
      </w:tr>
      <w:tr>
        <w:tc>
          <w:tcPr>
            <w:tcW w:type="dxa" w:w="2160"/>
          </w:tcPr>
          <w:p>
            <w:r>
              <w:t>Яблоки</w:t>
            </w:r>
          </w:p>
        </w:tc>
        <w:tc>
          <w:tcPr>
            <w:tcW w:type="dxa" w:w="2160"/>
          </w:tcPr>
          <w:p>
            <w:r>
              <w:t>117,46</w:t>
            </w:r>
          </w:p>
        </w:tc>
        <w:tc>
          <w:tcPr>
            <w:tcW w:type="dxa" w:w="2160"/>
          </w:tcPr>
          <w:p>
            <w:r>
              <w:t>110,14</w:t>
            </w:r>
          </w:p>
        </w:tc>
        <w:tc>
          <w:tcPr>
            <w:tcW w:type="dxa" w:w="2160"/>
          </w:tcPr>
          <w:p>
            <w:r>
              <w:t>109,48</w:t>
            </w:r>
          </w:p>
        </w:tc>
      </w:tr>
      <w:tr>
        <w:tc>
          <w:tcPr>
            <w:tcW w:type="dxa" w:w="2160"/>
          </w:tcPr>
          <w:p>
            <w:r>
              <w:t>Помидоры</w:t>
            </w:r>
          </w:p>
        </w:tc>
        <w:tc>
          <w:tcPr>
            <w:tcW w:type="dxa" w:w="2160"/>
          </w:tcPr>
          <w:p>
            <w:r>
              <w:t>138,85</w:t>
            </w:r>
          </w:p>
        </w:tc>
        <w:tc>
          <w:tcPr>
            <w:tcW w:type="dxa" w:w="2160"/>
          </w:tcPr>
          <w:p>
            <w:r>
              <w:t>167,80</w:t>
            </w:r>
          </w:p>
        </w:tc>
        <w:tc>
          <w:tcPr>
            <w:tcW w:type="dxa" w:w="2160"/>
          </w:tcPr>
          <w:p>
            <w:r>
              <w:t>191,45</w:t>
            </w:r>
          </w:p>
        </w:tc>
      </w:tr>
      <w:tr>
        <w:tc>
          <w:tcPr>
            <w:tcW w:type="dxa" w:w="2160"/>
          </w:tcPr>
          <w:p>
            <w:r>
              <w:t>Огурцы</w:t>
            </w:r>
          </w:p>
        </w:tc>
        <w:tc>
          <w:tcPr>
            <w:tcW w:type="dxa" w:w="2160"/>
          </w:tcPr>
          <w:p>
            <w:r>
              <w:t>128,33</w:t>
            </w:r>
          </w:p>
        </w:tc>
        <w:tc>
          <w:tcPr>
            <w:tcW w:type="dxa" w:w="2160"/>
          </w:tcPr>
          <w:p>
            <w:r>
              <w:t>151,33</w:t>
            </w:r>
          </w:p>
        </w:tc>
        <w:tc>
          <w:tcPr>
            <w:tcW w:type="dxa" w:w="2160"/>
          </w:tcPr>
          <w:p>
            <w:r>
              <w:t>191,43</w:t>
            </w:r>
          </w:p>
        </w:tc>
      </w:tr>
      <w:tr>
        <w:tc>
          <w:tcPr>
            <w:tcW w:type="dxa" w:w="2160"/>
          </w:tcPr>
          <w:p>
            <w:r>
              <w:t>Яйца</w:t>
            </w:r>
          </w:p>
        </w:tc>
        <w:tc>
          <w:tcPr>
            <w:tcW w:type="dxa" w:w="2160"/>
          </w:tcPr>
          <w:p>
            <w:r>
              <w:t>91,26</w:t>
            </w:r>
          </w:p>
        </w:tc>
        <w:tc>
          <w:tcPr>
            <w:tcW w:type="dxa" w:w="2160"/>
          </w:tcPr>
          <w:p>
            <w:r>
              <w:t>94,94</w:t>
            </w:r>
          </w:p>
        </w:tc>
        <w:tc>
          <w:tcPr>
            <w:tcW w:type="dxa" w:w="2160"/>
          </w:tcPr>
          <w:p>
            <w:r>
              <w:t>99,38</w:t>
            </w:r>
          </w:p>
        </w:tc>
      </w:tr>
    </w:tbl>
    <w:p>
      <w:r>
        <w:t>Условные цены рассчитаны от последнего наблюдения с модельным продолжением оставшейся сентябрьской недели, затем с новым октябрьским/ноябрьским темпом. Это диагностические уровни конца периода, не прогноз официальной средней месячной цены. Условия регистрации недельных и месячных цен различаются.</w:t>
      </w:r>
    </w:p>
    <w:p>
      <w:r>
        <w:t>В item_price_scenarios.csv сохранены исходные уровни, квартильные исторические ориентиры, все веса и флаги выхода за ориентиры. Всего три полных осенних аналога: квартильный диапазон не является надёжно оценённым пределом или доверительным интервалом. Например, октябрьский сценарий огурцов выше исторического P75, а отдельные сценарии лука и помидоров ниже P25; значения не обрезались автоматически. Сезонная неоднородность сохранена: овощи не обязаны дорожать одновременно.</w:t>
      </w:r>
    </w:p>
    <w:p>
      <w:pPr>
        <w:pStyle w:val="Heading2"/>
      </w:pPr>
      <w:r>
        <w:t>Как построен 2027 год</w:t>
      </w:r>
    </w:p>
    <w:p>
      <w:r>
        <w:t>Центральный ориентир — около 4,4% декабрь к декабрю, немного выше общероссийского прогноза Минэкономразвития 4,02%. После округления месячных темпов до сотых результат составляет 4,3918%. Среднегодовая инфляция — другая величина: она не приравнивается к 4,4%.</w:t>
      </w:r>
    </w:p>
    <w:p>
      <w:r>
        <w:t>Сезонная форма объединяет три источника: 30% формы ОПР09, 50% медианной сезонности КБР за 2016–2019 и 2023–2025 годы и 20% текущей формы Ensemble. До объединения удаляется средний темп каждого источника. Из исторической и модельной формы приближённо убирается коммунальная индексация; затем июльский тарифный вклад задаётся явно. Исключены пандемийные 2020–2021 годы и шоковый 2022 год. Это выбранные экспертные веса формы, а не доказанное превосходство модели.</w:t>
      </w:r>
    </w:p>
    <w:p>
      <w:r>
        <w:t>Добавлен небольшой плавно затухающий профиль остаточного давления от +0,06 до −0,06 п.п. относительно средней траектории. Единый сдвиг для всех 12 месяцев выбирается из условия произведения месячных индексов, соответствующего 4,4%. Это сценарная калибровка с одинаковым сдвигом месячных темпов, а не эконометрически оптимальный прогноз. Последний месяц не используется как остаточная балансирующая величина.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Месяц 2027</w:t>
            </w:r>
          </w:p>
        </w:tc>
        <w:tc>
          <w:tcPr>
            <w:tcW w:type="dxa" w:w="2880"/>
          </w:tcPr>
          <w:p>
            <w:r>
              <w:t>ОПР09, % м/м</w:t>
            </w:r>
          </w:p>
        </w:tc>
        <w:tc>
          <w:tcPr>
            <w:tcW w:type="dxa" w:w="2880"/>
          </w:tcPr>
          <w:p>
            <w:r>
              <w:t>Новый вариант, % м/м</w:t>
            </w:r>
          </w:p>
        </w:tc>
      </w:tr>
      <w:tr>
        <w:tc>
          <w:tcPr>
            <w:tcW w:type="dxa" w:w="2880"/>
          </w:tcPr>
          <w:p>
            <w:r>
              <w:t>Январь</w:t>
            </w:r>
          </w:p>
        </w:tc>
        <w:tc>
          <w:tcPr>
            <w:tcW w:type="dxa" w:w="2880"/>
          </w:tcPr>
          <w:p>
            <w:r>
              <w:t>0,90</w:t>
            </w:r>
          </w:p>
        </w:tc>
        <w:tc>
          <w:tcPr>
            <w:tcW w:type="dxa" w:w="2880"/>
          </w:tcPr>
          <w:p>
            <w:r>
              <w:t>0,80</w:t>
            </w:r>
          </w:p>
        </w:tc>
      </w:tr>
      <w:tr>
        <w:tc>
          <w:tcPr>
            <w:tcW w:type="dxa" w:w="2880"/>
          </w:tcPr>
          <w:p>
            <w:r>
              <w:t>Февраль</w:t>
            </w:r>
          </w:p>
        </w:tc>
        <w:tc>
          <w:tcPr>
            <w:tcW w:type="dxa" w:w="2880"/>
          </w:tcPr>
          <w:p>
            <w:r>
              <w:t>0,65</w:t>
            </w:r>
          </w:p>
        </w:tc>
        <w:tc>
          <w:tcPr>
            <w:tcW w:type="dxa" w:w="2880"/>
          </w:tcPr>
          <w:p>
            <w:r>
              <w:t>0,63</w:t>
            </w:r>
          </w:p>
        </w:tc>
      </w:tr>
      <w:tr>
        <w:tc>
          <w:tcPr>
            <w:tcW w:type="dxa" w:w="2880"/>
          </w:tcPr>
          <w:p>
            <w:r>
              <w:t>Март</w:t>
            </w:r>
          </w:p>
        </w:tc>
        <w:tc>
          <w:tcPr>
            <w:tcW w:type="dxa" w:w="2880"/>
          </w:tcPr>
          <w:p>
            <w:r>
              <w:t>0,50</w:t>
            </w:r>
          </w:p>
        </w:tc>
        <w:tc>
          <w:tcPr>
            <w:tcW w:type="dxa" w:w="2880"/>
          </w:tcPr>
          <w:p>
            <w:r>
              <w:t>0,40</w:t>
            </w:r>
          </w:p>
        </w:tc>
      </w:tr>
      <w:tr>
        <w:tc>
          <w:tcPr>
            <w:tcW w:type="dxa" w:w="2880"/>
          </w:tcPr>
          <w:p>
            <w:r>
              <w:t>Апрель</w:t>
            </w:r>
          </w:p>
        </w:tc>
        <w:tc>
          <w:tcPr>
            <w:tcW w:type="dxa" w:w="2880"/>
          </w:tcPr>
          <w:p>
            <w:r>
              <w:t>0,45</w:t>
            </w:r>
          </w:p>
        </w:tc>
        <w:tc>
          <w:tcPr>
            <w:tcW w:type="dxa" w:w="2880"/>
          </w:tcPr>
          <w:p>
            <w:r>
              <w:t>0,56</w:t>
            </w:r>
          </w:p>
        </w:tc>
      </w:tr>
      <w:tr>
        <w:tc>
          <w:tcPr>
            <w:tcW w:type="dxa" w:w="2880"/>
          </w:tcPr>
          <w:p>
            <w:r>
              <w:t>Май</w:t>
            </w:r>
          </w:p>
        </w:tc>
        <w:tc>
          <w:tcPr>
            <w:tcW w:type="dxa" w:w="2880"/>
          </w:tcPr>
          <w:p>
            <w:r>
              <w:t>0,20</w:t>
            </w:r>
          </w:p>
        </w:tc>
        <w:tc>
          <w:tcPr>
            <w:tcW w:type="dxa" w:w="2880"/>
          </w:tcPr>
          <w:p>
            <w:r>
              <w:t>0,19</w:t>
            </w:r>
          </w:p>
        </w:tc>
      </w:tr>
      <w:tr>
        <w:tc>
          <w:tcPr>
            <w:tcW w:type="dxa" w:w="2880"/>
          </w:tcPr>
          <w:p>
            <w:r>
              <w:t>Июнь</w:t>
            </w:r>
          </w:p>
        </w:tc>
        <w:tc>
          <w:tcPr>
            <w:tcW w:type="dxa" w:w="2880"/>
          </w:tcPr>
          <w:p>
            <w:r>
              <w:t>0,15</w:t>
            </w:r>
          </w:p>
        </w:tc>
        <w:tc>
          <w:tcPr>
            <w:tcW w:type="dxa" w:w="2880"/>
          </w:tcPr>
          <w:p>
            <w:r>
              <w:t>0,10</w:t>
            </w:r>
          </w:p>
        </w:tc>
      </w:tr>
      <w:tr>
        <w:tc>
          <w:tcPr>
            <w:tcW w:type="dxa" w:w="2880"/>
          </w:tcPr>
          <w:p>
            <w:r>
              <w:t>Июль</w:t>
            </w:r>
          </w:p>
        </w:tc>
        <w:tc>
          <w:tcPr>
            <w:tcW w:type="dxa" w:w="2880"/>
          </w:tcPr>
          <w:p>
            <w:r>
              <w:t>0,05</w:t>
            </w:r>
          </w:p>
        </w:tc>
        <w:tc>
          <w:tcPr>
            <w:tcW w:type="dxa" w:w="2880"/>
          </w:tcPr>
          <w:p>
            <w:r>
              <w:t>0,67</w:t>
            </w:r>
          </w:p>
        </w:tc>
      </w:tr>
      <w:tr>
        <w:tc>
          <w:tcPr>
            <w:tcW w:type="dxa" w:w="2880"/>
          </w:tcPr>
          <w:p>
            <w:r>
              <w:t>Август</w:t>
            </w:r>
          </w:p>
        </w:tc>
        <w:tc>
          <w:tcPr>
            <w:tcW w:type="dxa" w:w="2880"/>
          </w:tcPr>
          <w:p>
            <w:r>
              <w:t>−0,05</w:t>
            </w:r>
          </w:p>
        </w:tc>
        <w:tc>
          <w:tcPr>
            <w:tcW w:type="dxa" w:w="2880"/>
          </w:tcPr>
          <w:p>
            <w:r>
              <w:t>−0,19</w:t>
            </w:r>
          </w:p>
        </w:tc>
      </w:tr>
      <w:tr>
        <w:tc>
          <w:tcPr>
            <w:tcW w:type="dxa" w:w="2880"/>
          </w:tcPr>
          <w:p>
            <w:r>
              <w:t>Сентябрь</w:t>
            </w:r>
          </w:p>
        </w:tc>
        <w:tc>
          <w:tcPr>
            <w:tcW w:type="dxa" w:w="2880"/>
          </w:tcPr>
          <w:p>
            <w:r>
              <w:t>0,45</w:t>
            </w:r>
          </w:p>
        </w:tc>
        <w:tc>
          <w:tcPr>
            <w:tcW w:type="dxa" w:w="2880"/>
          </w:tcPr>
          <w:p>
            <w:r>
              <w:t>0,16</w:t>
            </w:r>
          </w:p>
        </w:tc>
      </w:tr>
      <w:tr>
        <w:tc>
          <w:tcPr>
            <w:tcW w:type="dxa" w:w="2880"/>
          </w:tcPr>
          <w:p>
            <w:r>
              <w:t>Октябрь</w:t>
            </w:r>
          </w:p>
        </w:tc>
        <w:tc>
          <w:tcPr>
            <w:tcW w:type="dxa" w:w="2880"/>
          </w:tcPr>
          <w:p>
            <w:r>
              <w:t>0,45</w:t>
            </w:r>
          </w:p>
        </w:tc>
        <w:tc>
          <w:tcPr>
            <w:tcW w:type="dxa" w:w="2880"/>
          </w:tcPr>
          <w:p>
            <w:r>
              <w:t>0,33</w:t>
            </w:r>
          </w:p>
        </w:tc>
      </w:tr>
      <w:tr>
        <w:tc>
          <w:tcPr>
            <w:tcW w:type="dxa" w:w="2880"/>
          </w:tcPr>
          <w:p>
            <w:r>
              <w:t>Ноябрь</w:t>
            </w:r>
          </w:p>
        </w:tc>
        <w:tc>
          <w:tcPr>
            <w:tcW w:type="dxa" w:w="2880"/>
          </w:tcPr>
          <w:p>
            <w:r>
              <w:t>0,20</w:t>
            </w:r>
          </w:p>
        </w:tc>
        <w:tc>
          <w:tcPr>
            <w:tcW w:type="dxa" w:w="2880"/>
          </w:tcPr>
          <w:p>
            <w:r>
              <w:t>0,32</w:t>
            </w:r>
          </w:p>
        </w:tc>
      </w:tr>
      <w:tr>
        <w:tc>
          <w:tcPr>
            <w:tcW w:type="dxa" w:w="2880"/>
          </w:tcPr>
          <w:p>
            <w:r>
              <w:t>Декабрь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  <w:tc>
          <w:tcPr>
            <w:tcW w:type="dxa" w:w="2880"/>
          </w:tcPr>
          <w:p>
            <w:r>
              <w:t>0,34</w:t>
            </w:r>
          </w:p>
        </w:tc>
      </w:tr>
    </w:tbl>
    <w:p>
      <w:r>
        <w:t>Прямой июльский коммунальный вклад около 0,655 п.п.; остальная корзина в этот месяц даёт близкий к нулю суммарный вклад. Для иллюстрации годовой согласованности: при коммунальных ценах +11%, их текущем весе 5,958% и общей инфляции около 4,4% остальная корзина должна дорожать примерно на 4% в год. Это приближение с фиксированными весами, а не отдельный официальный индекс.</w:t>
      </w:r>
    </w:p>
    <w:p>
      <w:r>
        <w:t>Годовая инфляция не снижается монотонно: в апреле–мае 2027 она временно повышается из-за низкой базы 2026 года. Центральный максимум мая — около 8,63%, затем около 7,43% в июле и 4,39% в декабре. Скрывать этот эффект сглаживанием YoY было бы неправильно.</w:t>
      </w:r>
    </w:p>
    <w:p>
      <w:pPr>
        <w:pStyle w:val="Heading2"/>
      </w:pPr>
      <w:r>
        <w:t>Сохранённый прогноз Минэкономразвития и тарифный план</w:t>
      </w:r>
    </w:p>
    <w:p>
      <w:r>
        <w:t>Официальная публикация 24.09.2026 (https://www.economy.gov.ru/material/directions/makroec/prognozy_socialno_ekonomicheskogo_razvitiya/prognoz_socialno_ekonomicheskogo_razvitiya_rossiyskoy_federacii_na_2027_god_i_na_planovyy_period_2028_i_2029_godov.html). Оригинальные PDF, архив 7z, десять Excel-приложений, извлечённый текст и SHA-256 сохранены в data/external/med_forecast_2027_2029_20260924/. Таблицы тарифов — PDF, страницы 29–30; общероссийские показатели ИПЦ — приложение 4, лист «ИПЦ Базовый».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Октябрь 2026</w:t>
            </w:r>
          </w:p>
        </w:tc>
        <w:tc>
          <w:tcPr>
            <w:tcW w:type="dxa" w:w="2160"/>
          </w:tcPr>
          <w:p>
            <w:r>
              <w:t>Июль 2027</w:t>
            </w:r>
          </w:p>
        </w:tc>
        <w:tc>
          <w:tcPr>
            <w:tcW w:type="dxa" w:w="2160"/>
          </w:tcPr>
          <w:p>
            <w:r>
              <w:t>Роль в расчёте</w:t>
            </w:r>
          </w:p>
        </w:tc>
      </w:tr>
      <w:tr>
        <w:tc>
          <w:tcPr>
            <w:tcW w:type="dxa" w:w="2160"/>
          </w:tcPr>
          <w:p>
            <w:r>
              <w:t>Совокупный коммунальный платеж</w:t>
            </w:r>
          </w:p>
        </w:tc>
        <w:tc>
          <w:tcPr>
            <w:tcW w:type="dxa" w:w="2160"/>
          </w:tcPr>
          <w:p>
            <w:r>
              <w:t>9,9%</w:t>
            </w:r>
          </w:p>
        </w:tc>
        <w:tc>
          <w:tcPr>
            <w:tcW w:type="dxa" w:w="2160"/>
          </w:tcPr>
          <w:p>
            <w:r>
              <w:t>11,0%</w:t>
            </w:r>
          </w:p>
        </w:tc>
        <w:tc>
          <w:tcPr>
            <w:tcW w:type="dxa" w:w="2160"/>
          </w:tcPr>
          <w:p>
            <w:r>
              <w:t>Прямой сценарный ориентир для коммунальной корзины</w:t>
            </w:r>
          </w:p>
        </w:tc>
      </w:tr>
      <w:tr>
        <w:tc>
          <w:tcPr>
            <w:tcW w:type="dxa" w:w="2160"/>
          </w:tcPr>
          <w:p>
            <w:r>
              <w:t>Электроэнергия населения</w:t>
            </w:r>
          </w:p>
        </w:tc>
        <w:tc>
          <w:tcPr>
            <w:tcW w:type="dxa" w:w="2160"/>
          </w:tcPr>
          <w:p>
            <w:r>
              <w:t>11,3%</w:t>
            </w:r>
          </w:p>
        </w:tc>
        <w:tc>
          <w:tcPr>
            <w:tcW w:type="dxa" w:w="2160"/>
          </w:tcPr>
          <w:p>
            <w:r>
              <w:t>14,4%</w:t>
            </w:r>
          </w:p>
        </w:tc>
        <w:tc>
          <w:tcPr>
            <w:tcW w:type="dxa" w:w="2160"/>
          </w:tcPr>
          <w:p>
            <w:r>
              <w:t>Внутри коммунального платежа, не дополнительная надбавка</w:t>
            </w:r>
          </w:p>
        </w:tc>
      </w:tr>
      <w:tr>
        <w:tc>
          <w:tcPr>
            <w:tcW w:type="dxa" w:w="2160"/>
          </w:tcPr>
          <w:p>
            <w:r>
              <w:t>Оптовый газ населения</w:t>
            </w:r>
          </w:p>
        </w:tc>
        <w:tc>
          <w:tcPr>
            <w:tcW w:type="dxa" w:w="2160"/>
          </w:tcPr>
          <w:p>
            <w:r>
              <w:t>9,6%</w:t>
            </w:r>
          </w:p>
        </w:tc>
        <w:tc>
          <w:tcPr>
            <w:tcW w:type="dxa" w:w="2160"/>
          </w:tcPr>
          <w:p>
            <w:r>
              <w:t>10,4%</w:t>
            </w:r>
          </w:p>
        </w:tc>
        <w:tc>
          <w:tcPr>
            <w:tcW w:type="dxa" w:w="2160"/>
          </w:tcPr>
          <w:p>
            <w:r>
              <w:t>Справочный фактор розничного тарифа</w:t>
            </w:r>
          </w:p>
        </w:tc>
      </w:tr>
      <w:tr>
        <w:tc>
          <w:tcPr>
            <w:tcW w:type="dxa" w:w="2160"/>
          </w:tcPr>
          <w:p>
            <w:r>
              <w:t>Тепло</w:t>
            </w:r>
          </w:p>
        </w:tc>
        <w:tc>
          <w:tcPr>
            <w:tcW w:type="dxa" w:w="2160"/>
          </w:tcPr>
          <w:p>
            <w:r>
              <w:t>9,9%</w:t>
            </w:r>
          </w:p>
        </w:tc>
        <w:tc>
          <w:tcPr>
            <w:tcW w:type="dxa" w:w="2160"/>
          </w:tcPr>
          <w:p>
            <w:r>
              <w:t>10,2%</w:t>
            </w:r>
          </w:p>
        </w:tc>
        <w:tc>
          <w:tcPr>
            <w:tcW w:type="dxa" w:w="2160"/>
          </w:tcPr>
          <w:p>
            <w:r>
              <w:t>Внутри коммунального платежа</w:t>
            </w:r>
          </w:p>
        </w:tc>
      </w:tr>
      <w:tr>
        <w:tc>
          <w:tcPr>
            <w:tcW w:type="dxa" w:w="2160"/>
          </w:tcPr>
          <w:p>
            <w:r>
              <w:t>Вода</w:t>
            </w:r>
          </w:p>
        </w:tc>
        <w:tc>
          <w:tcPr>
            <w:tcW w:type="dxa" w:w="2160"/>
          </w:tcPr>
          <w:p>
            <w:r>
              <w:t>9,8%</w:t>
            </w:r>
          </w:p>
        </w:tc>
        <w:tc>
          <w:tcPr>
            <w:tcW w:type="dxa" w:w="2160"/>
          </w:tcPr>
          <w:p>
            <w:r>
              <w:t>9,4%</w:t>
            </w:r>
          </w:p>
        </w:tc>
        <w:tc>
          <w:tcPr>
            <w:tcW w:type="dxa" w:w="2160"/>
          </w:tcPr>
          <w:p>
            <w:r>
              <w:t>Внутри коммунального платежа</w:t>
            </w:r>
          </w:p>
        </w:tc>
      </w:tr>
      <w:tr>
        <w:tc>
          <w:tcPr>
            <w:tcW w:type="dxa" w:w="2160"/>
          </w:tcPr>
          <w:p>
            <w:r>
              <w:t>Водоотведение</w:t>
            </w:r>
          </w:p>
        </w:tc>
        <w:tc>
          <w:tcPr>
            <w:tcW w:type="dxa" w:w="2160"/>
          </w:tcPr>
          <w:p>
            <w:r>
              <w:t>9,3%</w:t>
            </w:r>
          </w:p>
        </w:tc>
        <w:tc>
          <w:tcPr>
            <w:tcW w:type="dxa" w:w="2160"/>
          </w:tcPr>
          <w:p>
            <w:r>
              <w:t>9,0%</w:t>
            </w:r>
          </w:p>
        </w:tc>
        <w:tc>
          <w:tcPr>
            <w:tcW w:type="dxa" w:w="2160"/>
          </w:tcPr>
          <w:p>
            <w:r>
              <w:t>Внутри коммунального платежа</w:t>
            </w:r>
          </w:p>
        </w:tc>
      </w:tr>
      <w:tr>
        <w:tc>
          <w:tcPr>
            <w:tcW w:type="dxa" w:w="2160"/>
          </w:tcPr>
          <w:p>
            <w:r>
              <w:t>Грузовые ж/д перевозки</w:t>
            </w:r>
          </w:p>
        </w:tc>
        <w:tc>
          <w:tcPr>
            <w:tcW w:type="dxa" w:w="2160"/>
          </w:tcPr>
          <w:p>
            <w:r>
              <w:t>8,5%</w:t>
            </w:r>
          </w:p>
        </w:tc>
        <w:tc>
          <w:tcPr>
            <w:tcW w:type="dxa" w:w="2160"/>
          </w:tcPr>
          <w:p>
            <w:r>
              <w:t>0% за 2027 год</w:t>
            </w:r>
          </w:p>
        </w:tc>
        <w:tc>
          <w:tcPr>
            <w:tcW w:type="dxa" w:w="2160"/>
          </w:tcPr>
          <w:p>
            <w:r>
              <w:t>Косвенные издержки; отдельной потребительской надбавки нет</w:t>
            </w:r>
          </w:p>
        </w:tc>
      </w:tr>
      <w:tr>
        <w:tc>
          <w:tcPr>
            <w:tcW w:type="dxa" w:w="2160"/>
          </w:tcPr>
          <w:p>
            <w:r>
              <w:t>Регулируемые пассажирские ж/д перевозки</w:t>
            </w:r>
          </w:p>
        </w:tc>
        <w:tc>
          <w:tcPr>
            <w:tcW w:type="dxa" w:w="2160"/>
          </w:tcPr>
          <w:p>
            <w:r>
              <w:t>9,2%</w:t>
            </w:r>
          </w:p>
        </w:tc>
        <w:tc>
          <w:tcPr>
            <w:tcW w:type="dxa" w:w="2160"/>
          </w:tcPr>
          <w:p>
            <w:r>
              <w:t>0% за 2027 год</w:t>
            </w:r>
          </w:p>
        </w:tc>
        <w:tc>
          <w:tcPr>
            <w:tcW w:type="dxa" w:w="2160"/>
          </w:tcPr>
          <w:p>
            <w:r>
              <w:t>Требуется вес именно регулируемого сегмента; не умножается на все услуги</w:t>
            </w:r>
          </w:p>
        </w:tc>
      </w:tr>
    </w:tbl>
    <w:p>
      <w:r>
        <w:t>Для ж/д 0% означает отсутствие новой предусмотренной индексации в 2027 году после переноса на октябрь 2026; это не утверждение о неизменности всех фактических билетных цен. Календарь 2028–2029 годов также сохранён в tariff_calendar.csv.</w:t>
      </w:r>
    </w:p>
    <w:p>
      <w:r>
        <w:t>Российские ориентиры не являются утверждёнными тарифами КБР. При появлении регионального решения заменяются темп и месяц индексации; веса 2026 года также нужно заменить после выхода корзины 2027 года. В базовой калибровке зафиксирован ориентир 11%. Изменение тарифного календаря повышает/понижает инфляцию при неизменной прочей траектории, а не автоматически компенсируется её снижением ради цели.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Июльская индексация 2027</w:t>
            </w:r>
          </w:p>
        </w:tc>
        <w:tc>
          <w:tcPr>
            <w:tcW w:type="dxa" w:w="2880"/>
          </w:tcPr>
          <w:p>
            <w:r>
              <w:t>Июль, % м/м</w:t>
            </w:r>
          </w:p>
        </w:tc>
        <w:tc>
          <w:tcPr>
            <w:tcW w:type="dxa" w:w="2880"/>
          </w:tcPr>
          <w:p>
            <w:r>
              <w:t>Декабрь, % г/г при прочих равных</w:t>
            </w:r>
          </w:p>
        </w:tc>
      </w:tr>
      <w:tr>
        <w:tc>
          <w:tcPr>
            <w:tcW w:type="dxa" w:w="2880"/>
          </w:tcPr>
          <w:p>
            <w:r>
              <w:t>9%</w:t>
            </w:r>
          </w:p>
        </w:tc>
        <w:tc>
          <w:tcPr>
            <w:tcW w:type="dxa" w:w="2880"/>
          </w:tcPr>
          <w:p>
            <w:r>
              <w:t>0,551</w:t>
            </w:r>
          </w:p>
        </w:tc>
        <w:tc>
          <w:tcPr>
            <w:tcW w:type="dxa" w:w="2880"/>
          </w:tcPr>
          <w:p>
            <w:r>
              <w:t>4,268</w:t>
            </w:r>
          </w:p>
        </w:tc>
      </w:tr>
      <w:tr>
        <w:tc>
          <w:tcPr>
            <w:tcW w:type="dxa" w:w="2880"/>
          </w:tcPr>
          <w:p>
            <w:r>
              <w:t>11%</w:t>
            </w:r>
          </w:p>
        </w:tc>
        <w:tc>
          <w:tcPr>
            <w:tcW w:type="dxa" w:w="2880"/>
          </w:tcPr>
          <w:p>
            <w:r>
              <w:t>0,670</w:t>
            </w:r>
          </w:p>
        </w:tc>
        <w:tc>
          <w:tcPr>
            <w:tcW w:type="dxa" w:w="2880"/>
          </w:tcPr>
          <w:p>
            <w:r>
              <w:t>4,392</w:t>
            </w:r>
          </w:p>
        </w:tc>
      </w:tr>
      <w:tr>
        <w:tc>
          <w:tcPr>
            <w:tcW w:type="dxa" w:w="2880"/>
          </w:tcPr>
          <w:p>
            <w:r>
              <w:t>13%</w:t>
            </w:r>
          </w:p>
        </w:tc>
        <w:tc>
          <w:tcPr>
            <w:tcW w:type="dxa" w:w="2880"/>
          </w:tcPr>
          <w:p>
            <w:r>
              <w:t>0,789</w:t>
            </w:r>
          </w:p>
        </w:tc>
        <w:tc>
          <w:tcPr>
            <w:tcW w:type="dxa" w:w="2880"/>
          </w:tcPr>
          <w:p>
            <w:r>
              <w:t>4,515</w:t>
            </w:r>
          </w:p>
        </w:tc>
      </w:tr>
    </w:tbl>
    <w:p>
      <w:pPr>
        <w:pStyle w:val="Heading2"/>
      </w:pPr>
      <w:r>
        <w:t>Риски и проверка</w:t>
      </w:r>
    </w:p>
    <w:p>
      <w:r>
        <w:t>Отдельные условные сценарии дают около 3,79–5,23% на конец 2027 года. Они отражают совместное изменение тарифов и прочего давления; это не статистический доверительный интервал. Риск выхода выше диапазона остаётся при устойчивом дефиците топлива, сильном росте издержек, неблагоприятном урожае или ослаблении рубля. Для реализации центрального сценария нужны затухание вторичных эффектов и замедление нетарифной инфляции. Если этого не происходит, годовую цель следует пересматривать, а не насильно понижать остаток месяцев.</w:t>
      </w:r>
    </w:p>
    <w:p>
      <w:r>
        <w:t>Проведены независимые проверки произведения индексов, соответствия XLSX/CSV/JSON, сохранности фактов, сравнения с ОПР09 и исходных файлов. Подробности: verification_report.md, verification.json. Точность новой экспертной калибровки на независимом историческом бэктесте не заявляется.</w:t>
      </w:r>
    </w:p>
    <w:p>
      <w:pPr>
        <w:pStyle w:val="Heading2"/>
      </w:pPr>
      <w:r>
        <w:t>Файлы и воспроизведение</w:t>
      </w:r>
    </w:p>
    <w:p>
      <w:r>
        <w:t>- OPR102026_Прогноз.xlsx — новая форма; forecast_calculations.xlsx — полные расчёты и сравнения. - forecast_2026_2027.csv, full_path_2026_2027.csv — машинно-читаемая траектория. - 2027_conditioning.csv, item_price_scenarios.csv, tariff_sensitivity.csv — объяснение поправок. - forecast.html, forecast.png — сравнение траекторий. - forecast_package_20260928.zip — комплект с пояснением, проверкой, формой и источниками.</w:t>
      </w:r>
    </w:p>
    <w:p>
      <w:r>
        <w:t>Сначала python3 archive/results/opr102026_adjusted_20260928/build_update.py, затем update_opr.py из того же каталога; проверка verify_update.py. Пакет собирается существующим archive/results/full_forecast_package_2026_2027/build_package.py --update-dir archive/results/opr102026_adjusted_20260928; дополнительные исходники включаются finish_package.py.</w:t>
      </w:r>
    </w:p>
    <w:p>
      <w:pPr>
        <w:pStyle w:val="Heading1"/>
      </w:pPr>
      <w:r>
        <w:t>Помесячная траектория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Месяц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ИПЦ м/м, индекс</w:t>
            </w:r>
          </w:p>
        </w:tc>
        <w:tc>
          <w:tcPr>
            <w:tcW w:type="dxa" w:w="2160"/>
          </w:tcPr>
          <w:p>
            <w:r>
              <w:t>Прирост г/г, %</w:t>
            </w:r>
          </w:p>
        </w:tc>
      </w:tr>
      <w:tr>
        <w:tc>
          <w:tcPr>
            <w:tcW w:type="dxa" w:w="2160"/>
          </w:tcPr>
          <w:p>
            <w:r>
              <w:t>2026-01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101.57</w:t>
            </w:r>
          </w:p>
        </w:tc>
        <w:tc>
          <w:tcPr>
            <w:tcW w:type="dxa" w:w="2160"/>
          </w:tcPr>
          <w:p>
            <w:r>
              <w:t>6.04</w:t>
            </w:r>
          </w:p>
        </w:tc>
      </w:tr>
      <w:tr>
        <w:tc>
          <w:tcPr>
            <w:tcW w:type="dxa" w:w="2160"/>
          </w:tcPr>
          <w:p>
            <w:r>
              <w:t>2026-02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101.10</w:t>
            </w:r>
          </w:p>
        </w:tc>
        <w:tc>
          <w:tcPr>
            <w:tcW w:type="dxa" w:w="2160"/>
          </w:tcPr>
          <w:p>
            <w:r>
              <w:t>5.79</w:t>
            </w:r>
          </w:p>
        </w:tc>
      </w:tr>
      <w:tr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100.54</w:t>
            </w:r>
          </w:p>
        </w:tc>
        <w:tc>
          <w:tcPr>
            <w:tcW w:type="dxa" w:w="2160"/>
          </w:tcPr>
          <w:p>
            <w:r>
              <w:t>5.51</w:t>
            </w:r>
          </w:p>
        </w:tc>
      </w:tr>
      <w:tr>
        <w:tc>
          <w:tcPr>
            <w:tcW w:type="dxa" w:w="2160"/>
          </w:tcPr>
          <w:p>
            <w:r>
              <w:t>2026-04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99.72</w:t>
            </w:r>
          </w:p>
        </w:tc>
        <w:tc>
          <w:tcPr>
            <w:tcW w:type="dxa" w:w="2160"/>
          </w:tcPr>
          <w:p>
            <w:r>
              <w:t>4.66</w:t>
            </w:r>
          </w:p>
        </w:tc>
      </w:tr>
      <w:tr>
        <w:tc>
          <w:tcPr>
            <w:tcW w:type="dxa" w:w="2160"/>
          </w:tcPr>
          <w:p>
            <w:r>
              <w:t>2026-05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100.09</w:t>
            </w:r>
          </w:p>
        </w:tc>
        <w:tc>
          <w:tcPr>
            <w:tcW w:type="dxa" w:w="2160"/>
          </w:tcPr>
          <w:p>
            <w:r>
              <w:t>4.82</w:t>
            </w:r>
          </w:p>
        </w:tc>
      </w:tr>
      <w:tr>
        <w:tc>
          <w:tcPr>
            <w:tcW w:type="dxa" w:w="2160"/>
          </w:tcPr>
          <w:p>
            <w:r>
              <w:t>2026-06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101.06</w:t>
            </w:r>
          </w:p>
        </w:tc>
        <w:tc>
          <w:tcPr>
            <w:tcW w:type="dxa" w:w="2160"/>
          </w:tcPr>
          <w:p>
            <w:r>
              <w:t>5.98</w:t>
            </w:r>
          </w:p>
        </w:tc>
      </w:tr>
      <w:tr>
        <w:tc>
          <w:tcPr>
            <w:tcW w:type="dxa" w:w="2160"/>
          </w:tcPr>
          <w:p>
            <w:r>
              <w:t>2026-07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100.82</w:t>
            </w:r>
          </w:p>
        </w:tc>
        <w:tc>
          <w:tcPr>
            <w:tcW w:type="dxa" w:w="2160"/>
          </w:tcPr>
          <w:p>
            <w:r>
              <w:t>6.46</w:t>
            </w:r>
          </w:p>
        </w:tc>
      </w:tr>
      <w:tr>
        <w:tc>
          <w:tcPr>
            <w:tcW w:type="dxa" w:w="2160"/>
          </w:tcPr>
          <w:p>
            <w:r>
              <w:t>2026-08</w:t>
            </w:r>
          </w:p>
        </w:tc>
        <w:tc>
          <w:tcPr>
            <w:tcW w:type="dxa" w:w="2160"/>
          </w:tcPr>
          <w:p>
            <w:r>
              <w:t>Факт</w:t>
            </w:r>
          </w:p>
        </w:tc>
        <w:tc>
          <w:tcPr>
            <w:tcW w:type="dxa" w:w="2160"/>
          </w:tcPr>
          <w:p>
            <w:r>
              <w:t>100.12</w:t>
            </w:r>
          </w:p>
        </w:tc>
        <w:tc>
          <w:tcPr>
            <w:tcW w:type="dxa" w:w="2160"/>
          </w:tcPr>
          <w:p>
            <w:r>
              <w:t>7.20</w:t>
            </w:r>
          </w:p>
        </w:tc>
      </w:tr>
      <w:tr>
        <w:tc>
          <w:tcPr>
            <w:tcW w:type="dxa" w:w="2160"/>
          </w:tcPr>
          <w:p>
            <w:r>
              <w:t>2026-09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100.50</w:t>
            </w:r>
          </w:p>
        </w:tc>
        <w:tc>
          <w:tcPr>
            <w:tcW w:type="dxa" w:w="2160"/>
          </w:tcPr>
          <w:p>
            <w:r>
              <w:t>6.67</w:t>
            </w:r>
          </w:p>
        </w:tc>
      </w:tr>
      <w:tr>
        <w:tc>
          <w:tcPr>
            <w:tcW w:type="dxa" w:w="2160"/>
          </w:tcPr>
          <w:p>
            <w:r>
              <w:t>2026-10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101.37</w:t>
            </w:r>
          </w:p>
        </w:tc>
        <w:tc>
          <w:tcPr>
            <w:tcW w:type="dxa" w:w="2160"/>
          </w:tcPr>
          <w:p>
            <w:r>
              <w:t>7.56</w:t>
            </w:r>
          </w:p>
        </w:tc>
      </w:tr>
      <w:tr>
        <w:tc>
          <w:tcPr>
            <w:tcW w:type="dxa" w:w="2160"/>
          </w:tcPr>
          <w:p>
            <w:r>
              <w:t>2026-11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100.90</w:t>
            </w:r>
          </w:p>
        </w:tc>
        <w:tc>
          <w:tcPr>
            <w:tcW w:type="dxa" w:w="2160"/>
          </w:tcPr>
          <w:p>
            <w:r>
              <w:t>8.37</w:t>
            </w:r>
          </w:p>
        </w:tc>
      </w:tr>
      <w:tr>
        <w:tc>
          <w:tcPr>
            <w:tcW w:type="dxa" w:w="2160"/>
          </w:tcPr>
          <w:p>
            <w:r>
              <w:t>2026-12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100.96</w:t>
            </w:r>
          </w:p>
        </w:tc>
        <w:tc>
          <w:tcPr>
            <w:tcW w:type="dxa" w:w="2160"/>
          </w:tcPr>
          <w:p>
            <w:r>
              <w:t>9.09</w:t>
            </w:r>
          </w:p>
        </w:tc>
      </w:tr>
      <w:tr>
        <w:tc>
          <w:tcPr>
            <w:tcW w:type="dxa" w:w="2160"/>
          </w:tcPr>
          <w:p>
            <w:r>
              <w:t>2027-01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100.80</w:t>
            </w:r>
          </w:p>
        </w:tc>
        <w:tc>
          <w:tcPr>
            <w:tcW w:type="dxa" w:w="2160"/>
          </w:tcPr>
          <w:p>
            <w:r>
              <w:t>8.26</w:t>
            </w:r>
          </w:p>
        </w:tc>
      </w:tr>
      <w:tr>
        <w:tc>
          <w:tcPr>
            <w:tcW w:type="dxa" w:w="2160"/>
          </w:tcPr>
          <w:p>
            <w:r>
              <w:t>2027-02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100.63</w:t>
            </w:r>
          </w:p>
        </w:tc>
        <w:tc>
          <w:tcPr>
            <w:tcW w:type="dxa" w:w="2160"/>
          </w:tcPr>
          <w:p>
            <w:r>
              <w:t>7.76</w:t>
            </w:r>
          </w:p>
        </w:tc>
      </w:tr>
      <w:tr>
        <w:tc>
          <w:tcPr>
            <w:tcW w:type="dxa" w:w="2160"/>
          </w:tcPr>
          <w:p>
            <w:r>
              <w:t>2027-03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100.40</w:t>
            </w:r>
          </w:p>
        </w:tc>
        <w:tc>
          <w:tcPr>
            <w:tcW w:type="dxa" w:w="2160"/>
          </w:tcPr>
          <w:p>
            <w:r>
              <w:t>7.61</w:t>
            </w:r>
          </w:p>
        </w:tc>
      </w:tr>
      <w:tr>
        <w:tc>
          <w:tcPr>
            <w:tcW w:type="dxa" w:w="2160"/>
          </w:tcPr>
          <w:p>
            <w:r>
              <w:t>2027-04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100.56</w:t>
            </w:r>
          </w:p>
        </w:tc>
        <w:tc>
          <w:tcPr>
            <w:tcW w:type="dxa" w:w="2160"/>
          </w:tcPr>
          <w:p>
            <w:r>
              <w:t>8.52</w:t>
            </w:r>
          </w:p>
        </w:tc>
      </w:tr>
      <w:tr>
        <w:tc>
          <w:tcPr>
            <w:tcW w:type="dxa" w:w="2160"/>
          </w:tcPr>
          <w:p>
            <w:r>
              <w:t>2027-05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100.19</w:t>
            </w:r>
          </w:p>
        </w:tc>
        <w:tc>
          <w:tcPr>
            <w:tcW w:type="dxa" w:w="2160"/>
          </w:tcPr>
          <w:p>
            <w:r>
              <w:t>8.63</w:t>
            </w:r>
          </w:p>
        </w:tc>
      </w:tr>
      <w:tr>
        <w:tc>
          <w:tcPr>
            <w:tcW w:type="dxa" w:w="2160"/>
          </w:tcPr>
          <w:p>
            <w:r>
              <w:t>2027-06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100.10</w:t>
            </w:r>
          </w:p>
        </w:tc>
        <w:tc>
          <w:tcPr>
            <w:tcW w:type="dxa" w:w="2160"/>
          </w:tcPr>
          <w:p>
            <w:r>
              <w:t>7.59</w:t>
            </w:r>
          </w:p>
        </w:tc>
      </w:tr>
      <w:tr>
        <w:tc>
          <w:tcPr>
            <w:tcW w:type="dxa" w:w="2160"/>
          </w:tcPr>
          <w:p>
            <w:r>
              <w:t>2027-07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100.67</w:t>
            </w:r>
          </w:p>
        </w:tc>
        <w:tc>
          <w:tcPr>
            <w:tcW w:type="dxa" w:w="2160"/>
          </w:tcPr>
          <w:p>
            <w:r>
              <w:t>7.43</w:t>
            </w:r>
          </w:p>
        </w:tc>
      </w:tr>
      <w:tr>
        <w:tc>
          <w:tcPr>
            <w:tcW w:type="dxa" w:w="2160"/>
          </w:tcPr>
          <w:p>
            <w:r>
              <w:t>2027-08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99.81</w:t>
            </w:r>
          </w:p>
        </w:tc>
        <w:tc>
          <w:tcPr>
            <w:tcW w:type="dxa" w:w="2160"/>
          </w:tcPr>
          <w:p>
            <w:r>
              <w:t>7.10</w:t>
            </w:r>
          </w:p>
        </w:tc>
      </w:tr>
      <w:tr>
        <w:tc>
          <w:tcPr>
            <w:tcW w:type="dxa" w:w="2160"/>
          </w:tcPr>
          <w:p>
            <w:r>
              <w:t>2027-09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100.16</w:t>
            </w:r>
          </w:p>
        </w:tc>
        <w:tc>
          <w:tcPr>
            <w:tcW w:type="dxa" w:w="2160"/>
          </w:tcPr>
          <w:p>
            <w:r>
              <w:t>6.74</w:t>
            </w:r>
          </w:p>
        </w:tc>
      </w:tr>
      <w:tr>
        <w:tc>
          <w:tcPr>
            <w:tcW w:type="dxa" w:w="2160"/>
          </w:tcPr>
          <w:p>
            <w:r>
              <w:t>2027-10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100.33</w:t>
            </w:r>
          </w:p>
        </w:tc>
        <w:tc>
          <w:tcPr>
            <w:tcW w:type="dxa" w:w="2160"/>
          </w:tcPr>
          <w:p>
            <w:r>
              <w:t>5.64</w:t>
            </w:r>
          </w:p>
        </w:tc>
      </w:tr>
      <w:tr>
        <w:tc>
          <w:tcPr>
            <w:tcW w:type="dxa" w:w="2160"/>
          </w:tcPr>
          <w:p>
            <w:r>
              <w:t>2027-11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100.32</w:t>
            </w:r>
          </w:p>
        </w:tc>
        <w:tc>
          <w:tcPr>
            <w:tcW w:type="dxa" w:w="2160"/>
          </w:tcPr>
          <w:p>
            <w:r>
              <w:t>5.04</w:t>
            </w:r>
          </w:p>
        </w:tc>
      </w:tr>
      <w:tr>
        <w:tc>
          <w:tcPr>
            <w:tcW w:type="dxa" w:w="2160"/>
          </w:tcPr>
          <w:p>
            <w:r>
              <w:t>2027-12</w:t>
            </w:r>
          </w:p>
        </w:tc>
        <w:tc>
          <w:tcPr>
            <w:tcW w:type="dxa" w:w="2160"/>
          </w:tcPr>
          <w:p>
            <w:r>
              <w:t>Прогноз</w:t>
            </w:r>
          </w:p>
        </w:tc>
        <w:tc>
          <w:tcPr>
            <w:tcW w:type="dxa" w:w="2160"/>
          </w:tcPr>
          <w:p>
            <w:r>
              <w:t>100.34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760720" cy="4189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96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