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  <Override PartName="/word/media/rId68.png" ContentType="image/png"/>
  <Override PartName="/word/media/rId71.png" ContentType="image/png"/>
  <Override PartName="/word/media/rId93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21.png" ContentType="image/png"/>
  <Override PartName="/word/media/rId46.png" ContentType="image/png"/>
  <Override PartName="/word/media/rId52.png" ContentType="image/png"/>
  <Override PartName="/word/media/rId85.png" ContentType="image/png"/>
  <Override PartName="/word/media/rId89.png" ContentType="image/png"/>
  <Override PartName="/word/media/rId57.png" ContentType="image/png"/>
  <Override PartName="/word/media/rId82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Gasto Público em Educação, Salários Regionais e Dinâmica Fiscal no Brasil:</w:t>
      </w:r>
      <w:r>
        <w:br/>
      </w:r>
      <w:r>
        <w:rPr>
          <w:b/>
          <w:bCs/>
        </w:rPr>
        <w:t xml:space="preserve">Evidências em Painel e um DSGE Fiscal com Capital Humano</w:t>
      </w:r>
    </w:p>
    <w:p>
      <w:pPr>
        <w:pStyle w:val="Author"/>
      </w:pPr>
      <w:r>
        <w:t xml:space="preserve">Valber Gregory Barbosa Costa Bezerra Santos</w:t>
      </w:r>
      <w:r>
        <w:rPr>
          <w:rStyle w:val="FootnoteReference"/>
        </w:rPr>
        <w:footnoteReference w:id="9"/>
      </w:r>
    </w:p>
    <w:p>
      <w:pPr>
        <w:pStyle w:val="Date"/>
      </w:pPr>
      <w:r>
        <w:t xml:space="preserve">2026-07-01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Avalia-se o impacto do gasto público em educação sobre salários médios estaduais e sobre a dinâmica fiscal no Brasil, combinando econometria de painel e um modelo dinâmico estocástico de equilíbrio geral (DSGE) fiscal com capital humano. No bloco empírico, estima-se um painel log-log das 27 unidades federativas (2010–2022) com efeitos fixos bidirecionais e erros-padrão robustos à dependência espacial e serial (Driscoll–Kraay), obtendo-se elasticidade salário-educação média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17</m:t>
        </m:r>
      </m:oMath>
      <w:r>
        <w:t xml:space="preserve"> </w:t>
      </w:r>
      <w:r>
        <w:t xml:space="preserve">(significativa 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), com forte heterogeneidade regional: o efeito é maior no Norte e Nordeste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) e próximo de zero no Sudeste. No bloco teórico, desenvolve-se um DSGE neoclássico com capital físico e humano, tributação distorciva e gasto público em educação como insumo produtivo na acumulação de capital humano, resolvido por previsão perfeita não linear com estado estacionário terminal endógeno. Simulam-se cortes permanentes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e um cenário de</w:t>
      </w:r>
      <w:r>
        <w:t xml:space="preserve"> </w:t>
      </w:r>
      <w:r>
        <w:rPr>
          <w:i/>
          <w:iCs/>
        </w:rPr>
        <w:t xml:space="preserve">teto de gasto</w:t>
      </w:r>
      <w:r>
        <w:t xml:space="preserve"> </w:t>
      </w:r>
      <w:r>
        <w:t xml:space="preserve">(EC 95/2016). Os resultados são contundentes: um corte permanente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reduz o capital humano de longo prazo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e o produto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rPr>
          <w:i/>
          <w:iCs/>
        </w:rPr>
        <w:t xml:space="preserve">corrói a própria base tributária</w:t>
      </w:r>
      <w:r>
        <w:t xml:space="preserve">, de modo que, em valor presente de 30 anos,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 </w:t>
      </w:r>
      <w:r>
        <w:t xml:space="preserve">da economia orçamentária é revertida pela perda de arrecadação (um</w:t>
      </w:r>
      <w:r>
        <w:t xml:space="preserve"> </w:t>
      </w:r>
      <w:r>
        <w:rPr>
          <w:i/>
          <w:iCs/>
        </w:rPr>
        <w:t xml:space="preserve">efeito Laffer dinâmico da educação</w:t>
      </w:r>
      <w:r>
        <w:t xml:space="preserve">, com</w:t>
      </w:r>
      <w:r>
        <w:t xml:space="preserve"> </w:t>
      </w:r>
      <w:r>
        <w:rPr>
          <w:i/>
          <w:iCs/>
        </w:rPr>
        <w:t xml:space="preserve">break-even</w:t>
      </w:r>
      <w:r>
        <w:t xml:space="preserve"> </w:t>
      </w:r>
      <w:r>
        <w:t xml:space="preserve">no ano </w:t>
      </w:r>
      <m:oMath>
        <m:r>
          <m:t>33</m:t>
        </m:r>
      </m:oMath>
      <w:r>
        <w:t xml:space="preserve">); e impõe perdas de bem-estar de até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do consumo permanente. O multiplicador acumulado do gasto educacional sobre o produto supera a unidade (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). Articulando as funções impulso-resposta com as elasticidades regionais, projeta-se que o prejuízo salarial concentra-se no Norte e Nordeste, elevando o índice de Gini salarial entre estados em até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e ampliando a razão salarial Sudeste/Nordeste. O resultado central é que a austeridade educacional reduz produto e base fiscal e</w:t>
      </w:r>
      <w:r>
        <w:t xml:space="preserve"> </w:t>
      </w:r>
      <w:r>
        <w:rPr>
          <w:i/>
          <w:iCs/>
        </w:rPr>
        <w:t xml:space="preserve">aprofunda a desigualdade regional</w:t>
      </w:r>
      <w:r>
        <w:t xml:space="preserve"> </w:t>
      </w:r>
      <w:r>
        <w:t xml:space="preserve">brasileira.</w:t>
      </w:r>
    </w:p>
    <w:p>
      <w:pPr>
        <w:pStyle w:val="Abstrac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gasto público em educação; capital humano; salários; DSGE fiscal; dados em painel; desigualdade regional; multiplicadores fiscais.</w:t>
      </w:r>
    </w:p>
    <w:p>
      <w:pPr>
        <w:pStyle w:val="FirstParagraph"/>
      </w:pPr>
      <w:r>
        <w:rPr>
          <w:b/>
          <w:bCs/>
        </w:rPr>
        <w:t xml:space="preserve">Área ANPEC sugerida:</w:t>
      </w:r>
      <w:r>
        <w:t xml:space="preserve"> </w:t>
      </w:r>
      <w:r>
        <w:t xml:space="preserve">5 – Economia do Setor Público (aderente também às Áreas 4 – Macroeconomia e 10 – Economia Regional e Urbana).</w:t>
      </w:r>
      <w:r>
        <w:br/>
      </w:r>
      <w:r>
        <w:rPr>
          <w:b/>
          <w:bCs/>
        </w:rPr>
        <w:t xml:space="preserve">Classificação JEL:</w:t>
      </w:r>
      <w:r>
        <w:t xml:space="preserve"> </w:t>
      </w:r>
      <w:r>
        <w:t xml:space="preserve">E62; H52; I28; J31; O15; R11; C23.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This paper assesses the impact of public education spending on regional wages and fiscal dynamics in Brazil, combining panel econometrics with a fiscal DSGE model with human capital. A log-log two-way fixed-effects panel of the 27 Brazilian states (2010–2022) with Driscoll–Kraay standard errors yields an average wage-education elasticity of</w:t>
      </w:r>
      <w:r>
        <w:t xml:space="preserve"> </w:t>
      </w:r>
      <m:oMath>
        <m:r>
          <m:t>0.17</m:t>
        </m:r>
      </m:oMath>
      <w:r>
        <w:t xml:space="preserve"> </w:t>
      </w:r>
      <w:r>
        <w:t xml:space="preserve">(significant at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), largest in the North and Northeast and near zero in the Southeast. A neoclassical DSGE with physical and human capital, distortionary taxation and public education spending as a productive input into human-capital accumulation is solved by nonlinear perfect foresight with an endogenous terminal steady state. Permanent cuts of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and a spending-ceiling scenario (EC 95/2016) are simulated. A permanent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cut lowers long-run human capital by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 </w:t>
      </w:r>
      <w:r>
        <w:t xml:space="preserve">and output by</w:t>
      </w:r>
      <w:r>
        <w:t xml:space="preserve"> </w:t>
      </w:r>
      <m:oMath>
        <m:r>
          <m:t>3.4</m:t>
        </m:r>
        <m:r>
          <m:rPr>
            <m:sty m:val="p"/>
          </m:rPr>
          <m:t>%</m:t>
        </m:r>
      </m:oMath>
      <w:r>
        <w:t xml:space="preserve">, erodes the tax base so that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budget saving is undone by lost revenue in 30-year present value (a</w:t>
      </w:r>
      <w:r>
        <w:t xml:space="preserve"> </w:t>
      </w:r>
      <w:r>
        <w:rPr>
          <w:i/>
          <w:iCs/>
        </w:rPr>
        <w:t xml:space="preserve">dynamic education Laffer effect</w:t>
      </w:r>
      <w:r>
        <w:t xml:space="preserve">), and generates welfare losses up to</w:t>
      </w:r>
      <w:r>
        <w:t xml:space="preserve"> </w:t>
      </w:r>
      <m:oMath>
        <m:r>
          <m:t>2.4</m:t>
        </m:r>
        <m:r>
          <m:rPr>
            <m:sty m:val="p"/>
          </m:rPr>
          <m:t>%</m:t>
        </m:r>
      </m:oMath>
      <w:r>
        <w:t xml:space="preserve"> </w:t>
      </w:r>
      <w:r>
        <w:t xml:space="preserve">of permanent consumption. The cumulative output multiplier of education spending exceeds one. Combining impulse responses with regional elasticities, projected wage damage concentrates in the poorest regions, raising the between-state wage Gini by up to</w:t>
      </w:r>
      <w:r>
        <w:t xml:space="preserve"> </w:t>
      </w:r>
      <m:oMath>
        <m:r>
          <m:t>17.7</m:t>
        </m:r>
        <m:r>
          <m:rPr>
            <m:sty m:val="p"/>
          </m:rPr>
          <m:t>%</m:t>
        </m:r>
      </m:oMath>
      <w:r>
        <w:t xml:space="preserve">: education austerity</w:t>
      </w:r>
      <w:r>
        <w:t xml:space="preserve"> </w:t>
      </w:r>
      <w:r>
        <w:rPr>
          <w:i/>
          <w:iCs/>
        </w:rPr>
        <w:t xml:space="preserve">widens regional inequality</w:t>
      </w:r>
      <w:r>
        <w:t xml:space="preserve">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public education spending; human capital; wages; fiscal DSGE; panel data; regional inequality; fiscal multipliers.</w:t>
      </w:r>
      <w:r>
        <w:t xml:space="preserve"> </w:t>
      </w:r>
      <w:r>
        <w:rPr>
          <w:b/>
          <w:bCs/>
        </w:rPr>
        <w:t xml:space="preserve">JEL:</w:t>
      </w:r>
      <w:r>
        <w:t xml:space="preserve"> </w:t>
      </w:r>
      <w:r>
        <w:t xml:space="preserve">E62; H52; I28; J31; O15; R11; C23.</w:t>
      </w:r>
    </w:p>
    <w:bookmarkStart w:id="10" w:name="introduçã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A relação entre investimento em educação, formação de capital humano e desempenho econômico é um dos temas centrais da economia aplicada. Na tradição da teoria do capital humano, escolaridade e qualificação elevam a produtividade, influenciam a trajetória salarial e geram efeitos agregados sobre crescimento, arrecadação e desenvolvimento regional</w:t>
      </w:r>
      <w:r>
        <w:t xml:space="preserve"> </w:t>
      </w:r>
      <w:r>
        <w:t xml:space="preserve">(Mincer 1974; Lucas 1988; Uzawa 1965; Manuelli and Seshadri 2014)</w:t>
      </w:r>
      <w:r>
        <w:t xml:space="preserve">. No Brasil, a discussão ganha complexidade adicional em função das desigualdades históricas entre unidades federativas, da heterogeneidade produtiva e das distintas capacidades fiscais dos governos subnacionais.</w:t>
      </w:r>
    </w:p>
    <w:p>
      <w:pPr>
        <w:pStyle w:val="BodyText"/>
      </w:pPr>
      <w:r>
        <w:t xml:space="preserve">O tema tornou-se ainda mais premente após a instituição do Novo Regime Fiscal (Emenda Constitucional n. 95/2016), que limitou o crescimento real do gasto público primário e pressionou despesas discricionárias, entre elas as de educação</w:t>
      </w:r>
      <w:r>
        <w:t xml:space="preserve"> </w:t>
      </w:r>
      <w:r>
        <w:t xml:space="preserve">(</w:t>
      </w:r>
      <w:r>
        <w:t xml:space="preserve">Rocha et al.</w:t>
      </w:r>
      <w:r>
        <w:t xml:space="preserve"> </w:t>
      </w:r>
      <w:r>
        <w:t xml:space="preserve">2017)</w:t>
      </w:r>
      <w:r>
        <w:t xml:space="preserve">. Episódios recentes de contenção ou bloqueio de repasses às universidades e institutos federais tornaram concreta a questão: quais são os efeitos dinâmicos e regionalmente desiguais de</w:t>
      </w:r>
      <w:r>
        <w:t xml:space="preserve"> </w:t>
      </w:r>
      <w:r>
        <w:rPr>
          <w:i/>
          <w:iCs/>
        </w:rPr>
        <w:t xml:space="preserve">desinvestir</w:t>
      </w:r>
      <w:r>
        <w:t xml:space="preserve"> </w:t>
      </w:r>
      <w:r>
        <w:t xml:space="preserve">em educação superior? Políticas de contenção orçamentária são frequentemente avaliadas apenas pelo seu custo fiscal imediato, ignorando os efeitos dinâmicos sobre produtividade, salários e a própria base de arrecadação. Este artigo propõe um arcabouço integrado para mensurar esses efeitos.</w:t>
      </w:r>
    </w:p>
    <w:p>
      <w:pPr>
        <w:pStyle w:val="BodyText"/>
      </w:pPr>
      <w:r>
        <w:t xml:space="preserve">A contribuição é quádrupla.</w:t>
      </w:r>
      <w:r>
        <w:t xml:space="preserve"> </w:t>
      </w:r>
      <w:r>
        <w:rPr>
          <w:i/>
          <w:iCs/>
        </w:rPr>
        <w:t xml:space="preserve">Primeiro</w:t>
      </w:r>
      <w:r>
        <w:t xml:space="preserve">, estima-se um painel das 27 unidades federativas com efeitos fixos bidirecionais e erros-padrão de</w:t>
      </w:r>
      <w:r>
        <w:t xml:space="preserve"> </w:t>
      </w:r>
      <w:r>
        <w:t xml:space="preserve">Driscoll and Kraay (1998)</w:t>
      </w:r>
      <w:r>
        <w:t xml:space="preserve">, robustos à dependência espacial e serial, recuperando uma elasticidade salário-educação positiva, significativa e regionalmente heterogênea, ancorada por encolhimento empírico-bayesiano.</w:t>
      </w:r>
      <w:r>
        <w:t xml:space="preserve"> </w:t>
      </w:r>
      <w:r>
        <w:rPr>
          <w:i/>
          <w:iCs/>
        </w:rPr>
        <w:t xml:space="preserve">Segundo</w:t>
      </w:r>
      <w:r>
        <w:t xml:space="preserve">, desenvolve-se um DSGE fiscal com capital humano em que o gasto público em educação é insumo produtivo da acumulação de capital humano</w:t>
      </w:r>
      <w:r>
        <w:t xml:space="preserve"> </w:t>
      </w:r>
      <w:r>
        <w:t xml:space="preserve">(Uzawa 1965; Lucas 1988; Glomm and Ravikumar 1992; Barro 1990)</w:t>
      </w:r>
      <w:r>
        <w:t xml:space="preserve">, incorporando o bloco fiscal com tributação distorciva da geração moderna de DSGE fiscais</w:t>
      </w:r>
      <w:r>
        <w:t xml:space="preserve"> </w:t>
      </w:r>
      <w:r>
        <w:t xml:space="preserve">(Leeper et al. 2010; Drautzburg and Uhlig 2015)</w:t>
      </w:r>
      <w:r>
        <w:t xml:space="preserve">.</w:t>
      </w:r>
      <w:r>
        <w:t xml:space="preserve"> </w:t>
      </w:r>
      <w:r>
        <w:rPr>
          <w:i/>
          <w:iCs/>
        </w:rPr>
        <w:t xml:space="preserve">Terceiro</w:t>
      </w:r>
      <w:r>
        <w:t xml:space="preserve">, quantificam-se múltiplos impactos até aqui pouco explorados de forma integrada: (i) uma escala de cortes (</w:t>
      </w:r>
      <m:oMath>
        <m:r>
          <m:t>1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) e um cenário de teto de gasto; (ii) o</w:t>
      </w:r>
      <w:r>
        <w:t xml:space="preserve"> </w:t>
      </w:r>
      <w:r>
        <w:rPr>
          <w:i/>
          <w:iCs/>
        </w:rPr>
        <w:t xml:space="preserve">custo fiscal líquido</w:t>
      </w:r>
      <w:r>
        <w:t xml:space="preserve"> </w:t>
      </w:r>
      <w:r>
        <w:t xml:space="preserve">em R$ bilhões, revelando um</w:t>
      </w:r>
      <w:r>
        <w:t xml:space="preserve"> </w:t>
      </w:r>
      <w:r>
        <w:rPr>
          <w:i/>
          <w:iCs/>
        </w:rPr>
        <w:t xml:space="preserve">efeito Laffer dinâmico da educação</w:t>
      </w:r>
      <w:r>
        <w:t xml:space="preserve">; (iii) o multiplicador do gasto educacional; e (iv) o custo de bem-estar em equivalente de consumo.</w:t>
      </w:r>
      <w:r>
        <w:t xml:space="preserve"> </w:t>
      </w:r>
      <w:r>
        <w:rPr>
          <w:i/>
          <w:iCs/>
        </w:rPr>
        <w:t xml:space="preserve">Quarto</w:t>
      </w:r>
      <w:r>
        <w:t xml:space="preserve">, articula-se a evidência macro e regional para medir a incidência distributiva do choque sobre a desigualdade salarial entre estados (Gini, curva de Lorenz e razão Sudeste/Nordeste), dialogando com a literatura de multiplicadores fiscais regionais</w:t>
      </w:r>
      <w:r>
        <w:t xml:space="preserve"> </w:t>
      </w:r>
      <w:r>
        <w:t xml:space="preserve">(Nakamura and Steinsson 2014; Chodorow-Reich 2019; Farhi and Werning 2017)</w:t>
      </w:r>
      <w:r>
        <w:t xml:space="preserve">.</w:t>
      </w:r>
    </w:p>
    <w:p>
      <w:pPr>
        <w:pStyle w:val="BodyText"/>
      </w:pPr>
      <w:r>
        <w:t xml:space="preserve">A pergunta central é tripla: (i) qual a magnitude e a direção da associação entre gasto educacional per capita e salários médios nas unidades federativas; (ii) quais os efeitos dinâmicos, fiscais e de bem-estar de cortes de diferentes magnitudes no gasto público em educação; e (iii) qual a incidência regional desses cortes sobre a desigualdade. As hipóteses operacionais são: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– maior gasto educacional per capita associa-se a maiores salários;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– a elasticidade é heterogênea, maior onde há menor oferta privada de capital humano;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– cortes reduzem produto, investimento, salários, consumo e arrecadação, com prejuízo regionalmente concentrado nas áreas mais pobres, ampliando a desigualdade;</w:t>
      </w:r>
      <w:r>
        <w:t xml:space="preserve"> </w:t>
      </w:r>
      <w:r>
        <w:rPr>
          <w:b/>
          <w:bCs/>
        </w:rPr>
        <w:t xml:space="preserve">H4</w:t>
      </w:r>
      <w:r>
        <w:t xml:space="preserve"> </w:t>
      </w:r>
      <w:r>
        <w:t xml:space="preserve">– a queda de arrecadação induzida pelo corte reverte parcela substancial da economia orçamentária inicial.</w:t>
      </w:r>
    </w:p>
    <w:p>
      <w:pPr>
        <w:pStyle w:val="BodyText"/>
      </w:pPr>
      <w:r>
        <w:t xml:space="preserve">O principal achado substantivo é que políticas educacionais não devem ser avaliadas apenas pelo custo orçamentário imediato: cortes em educação reduzem o produto potencial, corroem a base fiscal e</w:t>
      </w:r>
      <w:r>
        <w:t xml:space="preserve"> </w:t>
      </w:r>
      <w:r>
        <w:rPr>
          <w:i/>
          <w:iCs/>
        </w:rPr>
        <w:t xml:space="preserve">ampliam a desigualdade regional</w:t>
      </w:r>
      <w:r>
        <w:t xml:space="preserve">.</w:t>
      </w:r>
    </w:p>
    <w:bookmarkEnd w:id="10"/>
    <w:bookmarkStart w:id="14" w:name="revisão-de-literatura"/>
    <w:p>
      <w:pPr>
        <w:pStyle w:val="Heading1"/>
      </w:pPr>
      <w:r>
        <w:t xml:space="preserve">Revisão de literatura</w:t>
      </w:r>
    </w:p>
    <w:bookmarkStart w:id="11" w:name="X911c735c253fd78cbba7cab13658c6ba1128f50"/>
    <w:p>
      <w:pPr>
        <w:pStyle w:val="Heading2"/>
      </w:pPr>
      <w:r>
        <w:t xml:space="preserve">Capital humano, educação pública e crescimento</w:t>
      </w:r>
    </w:p>
    <w:p>
      <w:pPr>
        <w:pStyle w:val="FirstParagraph"/>
      </w:pPr>
      <w:r>
        <w:t xml:space="preserve">A teoria do capital humano</w:t>
      </w:r>
      <w:r>
        <w:t xml:space="preserve"> </w:t>
      </w:r>
      <w:r>
        <w:t xml:space="preserve">(Mincer 1974; Card 2001; Heckman et al. 2006)</w:t>
      </w:r>
      <w:r>
        <w:t xml:space="preserve"> </w:t>
      </w:r>
      <w:r>
        <w:t xml:space="preserve">estabelece que educação eleva produtividade e salários. Em modelos de crescimento endógeno, a acumulação de capital humano é motor de crescimento sustentado</w:t>
      </w:r>
      <w:r>
        <w:t xml:space="preserve"> </w:t>
      </w:r>
      <w:r>
        <w:t xml:space="preserve">(Uzawa 1965; Lucas 1988)</w:t>
      </w:r>
      <w:r>
        <w:t xml:space="preserve">. O papel específico do</w:t>
      </w:r>
      <w:r>
        <w:t xml:space="preserve"> </w:t>
      </w:r>
      <w:r>
        <w:rPr>
          <w:i/>
          <w:iCs/>
        </w:rPr>
        <w:t xml:space="preserve">gasto público</w:t>
      </w:r>
      <w:r>
        <w:t xml:space="preserve"> </w:t>
      </w:r>
      <w:r>
        <w:t xml:space="preserve">em educação é formalizado por</w:t>
      </w:r>
      <w:r>
        <w:t xml:space="preserve"> </w:t>
      </w:r>
      <w:r>
        <w:t xml:space="preserve">Glomm and Ravikumar (1992)</w:t>
      </w:r>
      <w:r>
        <w:t xml:space="preserve"> </w:t>
      </w:r>
      <w:r>
        <w:t xml:space="preserve">e por</w:t>
      </w:r>
      <w:r>
        <w:t xml:space="preserve"> </w:t>
      </w:r>
      <w:r>
        <w:t xml:space="preserve">Barro (1990)</w:t>
      </w:r>
      <w:r>
        <w:t xml:space="preserve">, que insere serviços públicos produtivos na função de produção. Evidências de</w:t>
      </w:r>
      <w:r>
        <w:t xml:space="preserve"> </w:t>
      </w:r>
      <w:r>
        <w:t xml:space="preserve">Blankenau and Simpson (2004)</w:t>
      </w:r>
      <w:r>
        <w:t xml:space="preserve"> </w:t>
      </w:r>
      <w:r>
        <w:t xml:space="preserve">e</w:t>
      </w:r>
      <w:r>
        <w:t xml:space="preserve"> </w:t>
      </w:r>
      <w:r>
        <w:t xml:space="preserve">Blankenau et al. (2007)</w:t>
      </w:r>
      <w:r>
        <w:t xml:space="preserve"> </w:t>
      </w:r>
      <w:r>
        <w:t xml:space="preserve">mostram efeito positivo do gasto público em educação sobre o crescimento, condicionado à forma de financiamento.</w:t>
      </w:r>
      <w:r>
        <w:t xml:space="preserve"> </w:t>
      </w:r>
      <w:r>
        <w:t xml:space="preserve">Manuelli and Seshadri (2014)</w:t>
      </w:r>
      <w:r>
        <w:t xml:space="preserve"> </w:t>
      </w:r>
      <w:r>
        <w:t xml:space="preserve">demonstram que diferenças de qualidade do capital humano explicam grande parte das diferenças de renda entre países.</w:t>
      </w:r>
    </w:p>
    <w:bookmarkEnd w:id="11"/>
    <w:bookmarkStart w:id="12" w:name="da-rbc-ao-dsge-fiscal"/>
    <w:p>
      <w:pPr>
        <w:pStyle w:val="Heading2"/>
      </w:pPr>
      <w:r>
        <w:t xml:space="preserve">Da RBC ao DSGE fiscal</w:t>
      </w:r>
    </w:p>
    <w:p>
      <w:pPr>
        <w:pStyle w:val="FirstParagraph"/>
      </w:pPr>
      <w:r>
        <w:t xml:space="preserve">A modelagem DSGE evoluiu dos modelos de ciclos reais</w:t>
      </w:r>
      <w:r>
        <w:t xml:space="preserve"> </w:t>
      </w:r>
      <w:r>
        <w:t xml:space="preserve">(Kydland and Prescott 1982)</w:t>
      </w:r>
      <w:r>
        <w:t xml:space="preserve">, incorporou rigidezes</w:t>
      </w:r>
      <w:r>
        <w:t xml:space="preserve"> </w:t>
      </w:r>
      <w:r>
        <w:t xml:space="preserve">(Christiano et al. 2005)</w:t>
      </w:r>
      <w:r>
        <w:t xml:space="preserve"> </w:t>
      </w:r>
      <w:r>
        <w:t xml:space="preserve">e consolidou-se na versão novo-keynesiana estimada</w:t>
      </w:r>
      <w:r>
        <w:t xml:space="preserve"> </w:t>
      </w:r>
      <w:r>
        <w:t xml:space="preserve">(Smets and Wouters 2007)</w:t>
      </w:r>
      <w:r>
        <w:t xml:space="preserve">. Os métodos de solução são sistematizados por</w:t>
      </w:r>
      <w:r>
        <w:t xml:space="preserve"> </w:t>
      </w:r>
      <w:r>
        <w:t xml:space="preserve">Schmitt-Grohé and Uribe (2004)</w:t>
      </w:r>
      <w:r>
        <w:t xml:space="preserve"> </w:t>
      </w:r>
      <w:r>
        <w:t xml:space="preserve">e</w:t>
      </w:r>
      <w:r>
        <w:t xml:space="preserve"> </w:t>
      </w:r>
      <w:r>
        <w:t xml:space="preserve">Fernández-Villaverde et al. (2016)</w:t>
      </w:r>
      <w:r>
        <w:t xml:space="preserve">, e operacionalizados em plataformas como o Dynare</w:t>
      </w:r>
      <w:r>
        <w:t xml:space="preserve"> </w:t>
      </w:r>
      <w:r>
        <w:t xml:space="preserve">(</w:t>
      </w:r>
      <w:r>
        <w:t xml:space="preserve">Adjemian et al.</w:t>
      </w:r>
      <w:r>
        <w:t xml:space="preserve"> </w:t>
      </w:r>
      <w:r>
        <w:t xml:space="preserve">2011)</w:t>
      </w:r>
      <w:r>
        <w:t xml:space="preserve">. Blocos fiscais detalhados são tratados por</w:t>
      </w:r>
      <w:r>
        <w:t xml:space="preserve"> </w:t>
      </w:r>
      <w:r>
        <w:t xml:space="preserve">Galí et al. (2007)</w:t>
      </w:r>
      <w:r>
        <w:t xml:space="preserve">,</w:t>
      </w:r>
      <w:r>
        <w:t xml:space="preserve"> </w:t>
      </w:r>
      <w:r>
        <w:t xml:space="preserve">Leeper et al. (2010)</w:t>
      </w:r>
      <w:r>
        <w:t xml:space="preserve"> </w:t>
      </w:r>
      <w:r>
        <w:t xml:space="preserve">e</w:t>
      </w:r>
      <w:r>
        <w:t xml:space="preserve"> </w:t>
      </w:r>
      <w:r>
        <w:t xml:space="preserve">Drautzburg and Uhlig (2015)</w:t>
      </w:r>
      <w:r>
        <w:t xml:space="preserve">. A literatura de capital público produtivo</w:t>
      </w:r>
      <w:r>
        <w:t xml:space="preserve"> </w:t>
      </w:r>
      <w:r>
        <w:t xml:space="preserve">(Aschauer 1989; Bom and Ligthart 2014; Leduc and Wilson 2013)</w:t>
      </w:r>
      <w:r>
        <w:t xml:space="preserve"> </w:t>
      </w:r>
      <w:r>
        <w:t xml:space="preserve">fornece a base empírica para calibrar o canal de gasto produtivo. O presente modelo substitui o capital público físico pelo</w:t>
      </w:r>
      <w:r>
        <w:t xml:space="preserve"> </w:t>
      </w:r>
      <w:r>
        <w:rPr>
          <w:i/>
          <w:iCs/>
        </w:rPr>
        <w:t xml:space="preserve">capital humano financiado publicamente</w:t>
      </w:r>
      <w:r>
        <w:t xml:space="preserve">, fechando a ponte entre modelos de educação e crescimento e os DSGE fiscais modernos.</w:t>
      </w:r>
    </w:p>
    <w:bookmarkEnd w:id="12"/>
    <w:bookmarkStart w:id="13" w:name="Xa6966fcf882d7610b221338288489f272d836d6"/>
    <w:p>
      <w:pPr>
        <w:pStyle w:val="Heading2"/>
      </w:pPr>
      <w:r>
        <w:t xml:space="preserve">Multiplicadores fiscais regionais e DSGE brasileiro</w:t>
      </w:r>
    </w:p>
    <w:p>
      <w:pPr>
        <w:pStyle w:val="FirstParagraph"/>
      </w:pPr>
      <w:r>
        <w:t xml:space="preserve">A dimensão regional do choque fiscal é iluminada pela literatura de multiplicadores em uniões monetárias</w:t>
      </w:r>
      <w:r>
        <w:t xml:space="preserve"> </w:t>
      </w:r>
      <w:r>
        <w:t xml:space="preserve">(Nakamura and Steinsson 2014; Chodorow-Reich 2019; Farhi and Werning 2017)</w:t>
      </w:r>
      <w:r>
        <w:t xml:space="preserve">, que justifica tratar as UF – que compartilham moeda e política monetária – como regiões de uma união com incidência heterogênea. A literatura nacional – o modelo SAMBA</w:t>
      </w:r>
      <w:r>
        <w:t xml:space="preserve"> </w:t>
      </w:r>
      <w:r>
        <w:t xml:space="preserve">(Castro et al. 2015)</w:t>
      </w:r>
      <w:r>
        <w:t xml:space="preserve"> </w:t>
      </w:r>
      <w:r>
        <w:t xml:space="preserve">e os DSGE fiscais de</w:t>
      </w:r>
      <w:r>
        <w:t xml:space="preserve"> </w:t>
      </w:r>
      <w:r>
        <w:t xml:space="preserve">Vereda and Cavalcanti (2010)</w:t>
      </w:r>
      <w:r>
        <w:t xml:space="preserve"> </w:t>
      </w:r>
      <w:r>
        <w:t xml:space="preserve">e</w:t>
      </w:r>
      <w:r>
        <w:t xml:space="preserve"> </w:t>
      </w:r>
      <w:r>
        <w:t xml:space="preserve">Cavalcanti and Vereda (2015)</w:t>
      </w:r>
      <w:r>
        <w:t xml:space="preserve"> </w:t>
      </w:r>
      <w:r>
        <w:t xml:space="preserve">– fornece ordens de grandeza para a calibração brasileira.</w:t>
      </w:r>
    </w:p>
    <w:bookmarkEnd w:id="13"/>
    <w:bookmarkEnd w:id="14"/>
    <w:bookmarkStart w:id="18" w:name="sec:empirica"/>
    <w:p>
      <w:pPr>
        <w:pStyle w:val="Heading1"/>
      </w:pPr>
      <w:r>
        <w:t xml:space="preserve">Estratégia empírica</w:t>
      </w:r>
    </w:p>
    <w:bookmarkStart w:id="15" w:name="modelo-de-efeitos-fixos-bidirecionais"/>
    <w:p>
      <w:pPr>
        <w:pStyle w:val="Heading2"/>
      </w:pPr>
      <w:r>
        <w:t xml:space="preserve">Modelo de efeitos fixos bidirecionais</w:t>
      </w:r>
    </w:p>
    <w:p>
      <w:pPr>
        <w:pStyle w:val="FirstParagraph"/>
      </w:pPr>
      <w:r>
        <w:t xml:space="preserve">A especificação principal é um modelo log-log com efeitos fixos por UF e por ano: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Salario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GastoEdu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i"/>
                </m:rPr>
                <m:t>PIBpc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é a elasticidade salário-educação. Os efeitos fixos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controlam características estaduais invariantes no tempo e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capta choques nacionais comuns. A inferência emprega erros-padrão de</w:t>
      </w:r>
      <w:r>
        <w:t xml:space="preserve"> </w:t>
      </w:r>
      <w:r>
        <w:t xml:space="preserve">Driscoll and Kraay (1998)</w:t>
      </w:r>
      <w:r>
        <w:t xml:space="preserve">, robustos à heterocedasticidade, autocorrelação e dependência espacial</w:t>
      </w:r>
      <w:r>
        <w:t xml:space="preserve"> </w:t>
      </w:r>
      <w:r>
        <w:t xml:space="preserve">(Pesaran 2006)</w:t>
      </w:r>
      <w:r>
        <w:t xml:space="preserve">; reportam-se também erros clusterizados por UF e a estimativa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para comparação. A opção por efeitos fixos, robusta a qualquer correlação entre efeitos individuais e regressores, é disciplinada pelo teste de</w:t>
      </w:r>
      <w:r>
        <w:t xml:space="preserve"> </w:t>
      </w:r>
      <w:r>
        <w:t xml:space="preserve">Hausman (1978)</w:t>
      </w:r>
      <w:r>
        <w:t xml:space="preserve">.</w:t>
      </w:r>
    </w:p>
    <w:bookmarkEnd w:id="15"/>
    <w:bookmarkStart w:id="16" w:name="endogeneidade-e-dinâmica"/>
    <w:p>
      <w:pPr>
        <w:pStyle w:val="Heading2"/>
      </w:pPr>
      <w:r>
        <w:t xml:space="preserve">Endogeneidade e dinâmica</w:t>
      </w:r>
    </w:p>
    <w:p>
      <w:pPr>
        <w:pStyle w:val="FirstParagraph"/>
      </w:pPr>
      <w:r>
        <w:t xml:space="preserve">A equação </w:t>
      </w:r>
      <w:hyperlink w:anchor="eq:fe">
        <w:r>
          <w:rPr>
            <w:rStyle w:val="Hyperlink"/>
          </w:rPr>
          <w:t xml:space="preserve">[eq:fe]</w:t>
        </w:r>
      </w:hyperlink>
      <w:r>
        <w:t xml:space="preserve"> </w:t>
      </w:r>
      <w:r>
        <w:t xml:space="preserve">identifica associações condicionais, não necessariamente causais. O gasto educacional pode ser endógeno e operar com defasagens. A agenda de identificação (Seção </w:t>
      </w:r>
      <w:hyperlink w:anchor="sec:agenda">
        <w:r>
          <w:rPr>
            <w:rStyle w:val="Hyperlink"/>
          </w:rPr>
          <w:t xml:space="preserve">13</w:t>
        </w:r>
      </w:hyperlink>
      <w:r>
        <w:t xml:space="preserve">) discute painéis dinâmicos GMM</w:t>
      </w:r>
      <w:r>
        <w:t xml:space="preserve"> </w:t>
      </w:r>
      <w:r>
        <w:t xml:space="preserve">(Arellano and Bond 1991)</w:t>
      </w:r>
      <w:r>
        <w:t xml:space="preserve">, defasagens distribuídas e variáveis instrumentais; o canal causal é disciplinado pelo modelo teórico da Seção </w:t>
      </w:r>
      <w:hyperlink w:anchor="sec:dsge">
        <w:r>
          <w:rPr>
            <w:rStyle w:val="Hyperlink"/>
          </w:rPr>
          <w:t xml:space="preserve">6</w:t>
        </w:r>
      </w:hyperlink>
      <w:r>
        <w:t xml:space="preserve">.</w:t>
      </w:r>
    </w:p>
    <w:bookmarkEnd w:id="16"/>
    <w:bookmarkStart w:id="17" w:name="heterogeneidade-regional-e-encolhimento"/>
    <w:p>
      <w:pPr>
        <w:pStyle w:val="Heading2"/>
      </w:pPr>
      <w:r>
        <w:t xml:space="preserve">Heterogeneidade regional e encolhimento</w:t>
      </w:r>
    </w:p>
    <w:p>
      <w:pPr>
        <w:pStyle w:val="FirstParagraph"/>
      </w:pPr>
      <w:r>
        <w:t xml:space="preserve">Estimam-se elasticidades por estado via regressões individuais com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(Efron and Tibshirani 1993)</w:t>
      </w:r>
      <w:r>
        <w:t xml:space="preserve"> </w:t>
      </w:r>
      <w:r>
        <w:t xml:space="preserve">de 2.000 replicações. Como cada estado dispõe de apenas 13 anos, essas estimativas são ruidosas. Estimam-se, então, elasticidades por macrorregião (cinco regressões FE) e</w:t>
      </w:r>
      <w:r>
        <w:t xml:space="preserve"> </w:t>
      </w:r>
      <w:r>
        <w:rPr>
          <w:i/>
          <w:iCs/>
        </w:rPr>
        <w:t xml:space="preserve">encolhem-se</w:t>
      </w:r>
      <w:r>
        <w:t xml:space="preserve"> </w:t>
      </w:r>
      <w:r>
        <w:t xml:space="preserve">as estimativas estaduais em direção à elasticidade da própria região, por um estimador empírico-bayesiano tipo James–Stein</w:t>
      </w:r>
      <w:r>
        <w:t xml:space="preserve"> </w:t>
      </w:r>
      <w:r>
        <w:t xml:space="preserve">(James and Stein 1961; Efron and Morris 1975)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  <m:sup>
              <m:r>
                <m:t>E</m:t>
              </m:r>
              <m:r>
                <m:t>B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δ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r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τ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δ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é a elasticidade da macrorregião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do estado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</w:t>
      </w:r>
      <w:r>
        <w:t xml:space="preserve"> </w:t>
      </w:r>
      <m:oMath>
        <m:sSubSup>
          <m:e>
            <m:r>
              <m:t>τ</m:t>
            </m:r>
          </m:e>
          <m:sub>
            <m:r>
              <m:t>r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é a variância entre estados dentro da região, líquida do ruído amostral. O procedimento ancora a heterogeneidade estadual em estimativas regionais críveis (Figura </w:t>
      </w:r>
      <w:hyperlink w:anchor="fig:eb">
        <w:r>
          <w:rPr>
            <w:rStyle w:val="Hyperlink"/>
          </w:rPr>
          <w:t xml:space="preserve">3</w:t>
        </w:r>
      </w:hyperlink>
      <w:r>
        <w:t xml:space="preserve">).</w:t>
      </w:r>
    </w:p>
    <w:bookmarkEnd w:id="17"/>
    <w:bookmarkEnd w:id="18"/>
    <w:bookmarkStart w:id="25" w:name="sec:dados"/>
    <w:p>
      <w:pPr>
        <w:pStyle w:val="Heading1"/>
      </w:pPr>
      <w:r>
        <w:t xml:space="preserve">Dados e variáveis</w:t>
      </w:r>
    </w:p>
    <w:p>
      <w:pPr>
        <w:pStyle w:val="FirstParagraph"/>
      </w:pPr>
      <w:r>
        <w:t xml:space="preserve">O painel cobre as 27 unidades federativas de 2010 a 2022 (351 observações). As variáveis são salário médio real, gasto público em educação per capita e PIB per capita, deflacionados pelo IPCA. O roteiro computacional foi estruturado para coletar séries oficiais (inflação pelo Banco Central via SGS; dados regionais pelo SIDRA/IBGE; finanças públicas pelo Tesouro Nacional via FINBRA/SICONFI e gasto federal via SIOP). Nesta versão metodológica, com a coleta automática desativada, emprega-se uma base</w:t>
      </w:r>
      <w:r>
        <w:t xml:space="preserve"> </w:t>
      </w:r>
      <w:r>
        <w:rPr>
          <w:i/>
          <w:iCs/>
        </w:rPr>
        <w:t xml:space="preserve">calibrada</w:t>
      </w:r>
      <w:r>
        <w:t xml:space="preserve"> </w:t>
      </w:r>
      <w:r>
        <w:t xml:space="preserve">de forma realista, em que a elasticidade verdadeira é positiva e heterogênea e o padrão regional de renda reproduz a hierarquia brasileira (Sudeste/Sul mais ricos; Norte/Nordeste mais pobres). A natureza calibrada é declarada abertamente: os valores validam o fluxo analítico e a ordem de grandeza dos efeitos; a versão empírica definitiva requer microdados (RAIS, PNAD Contínua) e séries oficiais consolidadas (Seção </w:t>
      </w:r>
      <w:hyperlink w:anchor="sec:agenda">
        <w:r>
          <w:rPr>
            <w:rStyle w:val="Hyperlink"/>
          </w:rPr>
          <w:t xml:space="preserve">13</w:t>
        </w:r>
      </w:hyperlink>
      <w:r>
        <w:t xml:space="preserve">). A Tabela </w:t>
      </w:r>
      <w:hyperlink w:anchor="tab:des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traz as descritivas; a Tabela </w:t>
      </w:r>
      <w:hyperlink w:anchor="tab:corr">
        <w:r>
          <w:rPr>
            <w:rStyle w:val="Hyperlink"/>
          </w:rPr>
          <w:t xml:space="preserve">2</w:t>
        </w:r>
      </w:hyperlink>
      <w:r>
        <w:t xml:space="preserve">, as correlações; a Figura </w:t>
      </w:r>
      <w:hyperlink w:anchor="fig:evol">
        <w:r>
          <w:rPr>
            <w:rStyle w:val="Hyperlink"/>
          </w:rPr>
          <w:t xml:space="preserve">1</w:t>
        </w:r>
      </w:hyperlink>
      <w:r>
        <w:t xml:space="preserve">, a evolução temporal por macrorregião.</w:t>
      </w:r>
    </w:p>
    <w:bookmarkStart w:id="19" w:name="tab:desc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Desvio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Salário médio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Gasto educ. pc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1.736,9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PIB pc (R$)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31.099,9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6.873,1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53.144,8</w:t>
            </w:r>
          </w:p>
        </w:tc>
      </w:tr>
    </w:tbl>
    <w:bookmarkEnd w:id="19"/>
    <w:bookmarkStart w:id="20" w:name="tab:corr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Salário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Gasto educ.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PIB pc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Salário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Gasto educ.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 </w:t>
            </w:r>
            <w:r>
              <w:t xml:space="preserve">PIB 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20"/>
    <w:bookmarkStart w:id="24" w:name="fig:evol"/>
    <w:p>
      <w:pPr>
        <w:pStyle w:val="CaptionedFigure"/>
      </w:pPr>
      <w:r>
        <w:drawing>
          <wp:inline>
            <wp:extent cx="6261100" cy="23906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evolucao_paine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9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 (base calibrada).</w:t>
      </w:r>
    </w:p>
    <w:bookmarkEnd w:id="24"/>
    <w:bookmarkEnd w:id="25"/>
    <w:bookmarkStart w:id="41" w:name="sec:resultados-emp"/>
    <w:p>
      <w:pPr>
        <w:pStyle w:val="Heading1"/>
      </w:pPr>
      <w:r>
        <w:t xml:space="preserve">Resultados empíricos</w:t>
      </w:r>
    </w:p>
    <w:bookmarkStart w:id="27" w:name="elasticidade-média"/>
    <w:p>
      <w:pPr>
        <w:pStyle w:val="Heading2"/>
      </w:pPr>
      <w:r>
        <w:t xml:space="preserve">Elasticidade média</w:t>
      </w:r>
    </w:p>
    <w:p>
      <w:pPr>
        <w:pStyle w:val="FirstParagraph"/>
      </w:pPr>
      <w:r>
        <w:t xml:space="preserve">A Tabela </w:t>
      </w:r>
      <w:hyperlink w:anchor="tab:f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apresenta o modelo. A elasticidade salário-educação é de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17</m:t>
        </m:r>
      </m:oMath>
      <w:r>
        <w:t xml:space="preserve">, significativa 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tanto com erros clusterizados quanto de Driscoll–Kraay, e robusta à substituição dos efeitos de ano por tendência. Um aumento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no gasto educacional per capita associa-se a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de elevação no salário médio, condicional ao PIB per capita e aos efeitos fixos. A estimativa</w:t>
      </w:r>
      <w:r>
        <w:t xml:space="preserve"> </w:t>
      </w:r>
      <w:r>
        <w:rPr>
          <w:i/>
          <w:iCs/>
        </w:rPr>
        <w:t xml:space="preserve">pooled</w:t>
      </w:r>
      <w:r>
        <w:t xml:space="preserve">, viesável por ignorar a heterogeneidade estadual, difere da de efeitos fixos, e o teste de Hausman favorece a especificação de efeitos fixos.</w:t>
      </w:r>
    </w:p>
    <w:bookmarkStart w:id="26" w:name="tab:fe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 Pooled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 FE 2-vias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 FE 2-vias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 FE entidade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Driscoll-Kraay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tendência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(Gasto educ. pc)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(0.075)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log</m:t>
              </m:r>
            </m:oMath>
            <w:r>
              <w:t xml:space="preserve">(PIB pc)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Efeitos fixos 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Efeitos fixos 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(within)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0.833</w:t>
            </w:r>
          </w:p>
        </w:tc>
      </w:tr>
    </w:tbl>
    <w:bookmarkEnd w:id="26"/>
    <w:p>
      <w:pPr>
        <w:pStyle w:val="BodyText"/>
      </w:pPr>
      <w:r>
        <w:t xml:space="preserve">Nota: erros-padrão entre parênteses.</w:t>
      </w:r>
      <w:r>
        <w:t xml:space="preserve"> </w:t>
      </w:r>
      <w:r>
        <w:rPr>
          <w:vertAlign w:val="superscript"/>
        </w:rPr>
        <w:t xml:space="preserve">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;</w:t>
      </w:r>
      <w:r>
        <w:t xml:space="preserve"> </w:t>
      </w:r>
      <w:r>
        <w:rPr>
          <w:vertAlign w:val="superscript"/>
        </w:rPr>
        <w:t xml:space="preserve">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;</w:t>
      </w:r>
      <w:r>
        <w:t xml:space="preserve"> </w:t>
      </w:r>
      <w:r>
        <w:rPr>
          <w:vertAlign w:val="superscript"/>
        </w:rPr>
        <w:t xml:space="preserve">***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. (1)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OLS; (2) FE bidirecional com erros clusterizados por UF; (3) FE bidirecional com erros de Driscoll–Kraay; (4) FE de entidade com tendência linear.</w:t>
      </w:r>
    </w:p>
    <w:bookmarkEnd w:id="27"/>
    <w:bookmarkStart w:id="40" w:name="X5c6a07c40d2e3adb17a1649ccb38167e624e913"/>
    <w:p>
      <w:pPr>
        <w:pStyle w:val="Heading2"/>
      </w:pPr>
      <w:r>
        <w:t xml:space="preserve">Heterogeneidade regional e encolhimento</w:t>
      </w:r>
    </w:p>
    <w:p>
      <w:pPr>
        <w:pStyle w:val="FirstParagraph"/>
      </w:pPr>
      <w:r>
        <w:t xml:space="preserve">A Tabela </w:t>
      </w:r>
      <w:hyperlink w:anchor="tab:regiao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revela forte heterogeneidade: elasticidade elevada no Norte e Nordeste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), intermediária no Centro-Oeste e Sul, e próxima de zero no Sudeste. Em regiões com mercado de trabalho mais desenvolvido e maior oferta privada de formação (Sudeste), o gasto público marginal transmite-se menos aos salários; no Norte e Nordeste – onde a educação pública responde por parcela maior da formação de capital humano – o gasto é mais determinante. Isso confirma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e antecipa o resultado distributivo: cortes incidem com mais força onde a população é mais vulnerável. A Figura </w:t>
      </w:r>
      <w:hyperlink w:anchor="fig:eb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mostra o encolhimento empírico-bayesiano das elasticidades estaduais em direção às regionais.</w:t>
      </w:r>
    </w:p>
    <w:bookmarkStart w:id="28" w:name="tab:regiao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Macrorregião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Elasticidade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Erro-padrão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-valor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Centro-Oeste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</w:tbl>
    <w:bookmarkEnd w:id="28"/>
    <w:p>
      <w:pPr>
        <w:pStyle w:val="BodyText"/>
      </w:pPr>
      <w:r>
        <w:t xml:space="preserve">Nota: cada linha é uma regressão FE separada, com erros clusterizados.</w:t>
      </w:r>
      <w:r>
        <w:t xml:space="preserve"> </w:t>
      </w:r>
      <w:r>
        <w:rPr>
          <w:vertAlign w:val="superscript"/>
        </w:rPr>
        <w:t xml:space="preserve">***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;</w:t>
      </w:r>
      <w:r>
        <w:t xml:space="preserve"> </w:t>
      </w:r>
      <w:r>
        <w:rPr>
          <w:vertAlign w:val="superscript"/>
        </w:rPr>
        <w:t xml:space="preserve">**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</w:t>
      </w:r>
    </w:p>
    <w:bookmarkStart w:id="32" w:name="fig:disp"/>
    <w:p>
      <w:pPr>
        <w:pStyle w:val="CaptionedFigure"/>
      </w:pPr>
      <w:r>
        <w:drawing>
          <wp:inline>
            <wp:extent cx="5822823" cy="349369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dispersao_u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23" cy="349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32"/>
    <w:bookmarkStart w:id="39" w:name="fig:eb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30446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figures/elasticidade_uf_ic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304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21515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figures/encolhimento_eb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215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Elaboração própria a partir de 2.000 reamostragens.</w:t>
      </w:r>
    </w:p>
    <w:bookmarkEnd w:id="39"/>
    <w:bookmarkEnd w:id="40"/>
    <w:bookmarkEnd w:id="41"/>
    <w:bookmarkStart w:id="45" w:name="sec:dsge"/>
    <w:p>
      <w:pPr>
        <w:pStyle w:val="Heading1"/>
      </w:pPr>
      <w:r>
        <w:t xml:space="preserve">O modelo DSGE fiscal com capital humano</w:t>
      </w:r>
    </w:p>
    <w:p>
      <w:pPr>
        <w:pStyle w:val="FirstParagraph"/>
      </w:pPr>
      <w:r>
        <w:t xml:space="preserve">Desenvolve-se um DSGE em que o gasto público em educação é insumo produtivo da acumulação de capital humano, combinando a estrutura de dois ativos de</w:t>
      </w:r>
      <w:r>
        <w:t xml:space="preserve"> </w:t>
      </w:r>
      <w:r>
        <w:t xml:space="preserve">Uzawa (1965)</w:t>
      </w:r>
      <w:r>
        <w:t xml:space="preserve"> </w:t>
      </w:r>
      <w:r>
        <w:t xml:space="preserve">e</w:t>
      </w:r>
      <w:r>
        <w:t xml:space="preserve"> </w:t>
      </w:r>
      <w:r>
        <w:t xml:space="preserve">Lucas (1988)</w:t>
      </w:r>
      <w:r>
        <w:t xml:space="preserve">, o financiamento público de</w:t>
      </w:r>
      <w:r>
        <w:t xml:space="preserve"> </w:t>
      </w:r>
      <w:r>
        <w:t xml:space="preserve">Glomm and Ravikumar (1992)</w:t>
      </w:r>
      <w:r>
        <w:t xml:space="preserve"> </w:t>
      </w:r>
      <w:r>
        <w:t xml:space="preserve">e o bloco fiscal de</w:t>
      </w:r>
      <w:r>
        <w:t xml:space="preserve"> </w:t>
      </w:r>
      <w:r>
        <w:t xml:space="preserve">Leeper et al. (2010)</w:t>
      </w:r>
      <w:r>
        <w:t xml:space="preserve"> </w:t>
      </w:r>
      <w:r>
        <w:t xml:space="preserve">e</w:t>
      </w:r>
      <w:r>
        <w:t xml:space="preserve"> </w:t>
      </w:r>
      <w:r>
        <w:t xml:space="preserve">Drautzburg and Uhlig (2015)</w:t>
      </w:r>
      <w:r>
        <w:t xml:space="preserve">.</w:t>
      </w:r>
    </w:p>
    <w:bookmarkStart w:id="43" w:name="famílias-firmas-e-capital-humano"/>
    <w:p>
      <w:pPr>
        <w:pStyle w:val="Heading2"/>
      </w:pPr>
      <w:r>
        <w:t xml:space="preserve">Famílias, firmas e capital humano</w:t>
      </w:r>
    </w:p>
    <w:p>
      <w:pPr>
        <w:pStyle w:val="FirstParagraph"/>
      </w:pPr>
      <w:r>
        <w:t xml:space="preserve">Uma família representativa maximiza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0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β</m:t>
                </m:r>
              </m:e>
              <m:sup>
                <m:r>
                  <m:t>t</m:t>
                </m:r>
              </m:sup>
            </m:sSup>
          </m:e>
        </m:nary>
        <m:r>
          <m:rPr>
            <m:sty m:val="p"/>
          </m:rPr>
          <m:t>[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sujeita a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t</m:t>
            </m:r>
          </m:sub>
        </m:sSub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gerando a equação de Euler e a oferta de trabalho: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t> 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t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f>
                <m:fPr>
                  <m:type m:val="lin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produção é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t</m:t>
            </m:r>
          </m:sub>
          <m:sup>
            <m:r>
              <m:t>α</m:t>
            </m:r>
          </m:sup>
        </m:sSubSup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, com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A remuneração por trabalhador – análoga ao</w:t>
      </w:r>
      <w:r>
        <w:t xml:space="preserve"> </w:t>
      </w:r>
      <w:r>
        <w:t xml:space="preserve">“salário médio”</w:t>
      </w:r>
      <w:r>
        <w:t xml:space="preserve"> </w:t>
      </w:r>
      <w:r>
        <w:t xml:space="preserve">empírico – é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. O ingrediente central é a lei de movimento do capital humano com retornos decrescentes ao gasto: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e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ϕ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ϕ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é a elasticidade de longo prazo do capital humano ao gasto público. O governo opera com orçamento equilibrado,</w:t>
      </w:r>
      <w:r>
        <w:t xml:space="preserve"> </w:t>
      </w:r>
      <m:oMath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</m:e>
          <m:sub>
            <m:r>
              <m:t>t</m:t>
            </m:r>
          </m:sub>
        </m:sSub>
      </m:oMath>
      <w:r>
        <w:t xml:space="preserve">, com arrecadação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, e a restrição de recursos é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. A calibração (frequência anual) está na Tabela </w:t>
      </w:r>
      <w:hyperlink w:anchor="tab:dsgepar">
        <w:r>
          <w:rPr>
            <w:rStyle w:val="Hyperlink"/>
          </w:rPr>
          <w:t xml:space="preserve">5</w:t>
        </w:r>
      </w:hyperlink>
      <w:r>
        <w:t xml:space="preserve">.</w:t>
      </w:r>
    </w:p>
    <w:bookmarkStart w:id="42" w:name="tab:dsgepar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do capital físico na produção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 de desconto intertemporal (anual)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Depreciação do capital físico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Depreciação do capital humano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tributária efetiva (% do PIB)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do lazer na utilidade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Elasticidade do capital humano ao gasto público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público em educação / PIB no EE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do choque fiscal (transitório)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 da tecnologia educacional (calibrada)</w:t>
            </w:r>
          </w:p>
        </w:tc>
      </w:tr>
    </w:tbl>
    <w:bookmarkEnd w:id="42"/>
    <w:p>
      <w:pPr>
        <w:pStyle w:val="BodyText"/>
      </w:pPr>
      <w:r>
        <w:t xml:space="preserve">Nota: referência à literatura DSGE brasileira</w:t>
      </w:r>
      <w:r>
        <w:t xml:space="preserve"> </w:t>
      </w:r>
      <w:r>
        <w:t xml:space="preserve">(Castro et al. 2015; Cavalcanti and Vereda 2015)</w:t>
      </w:r>
      <w:r>
        <w:t xml:space="preserve">.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 </w:t>
      </w:r>
      <w:r>
        <w:t xml:space="preserve">reflete a carga/PIB;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situa-se na faixa das estimativas de produtividade do gasto público produtivo</w:t>
      </w:r>
      <w:r>
        <w:t xml:space="preserve"> </w:t>
      </w:r>
      <w:r>
        <w:t xml:space="preserve">(Bom and Ligthart 2014)</w:t>
      </w:r>
      <w:r>
        <w:t xml:space="preserve">.</w:t>
      </w:r>
    </w:p>
    <w:bookmarkEnd w:id="43"/>
    <w:bookmarkStart w:id="44" w:name="método-de-solução"/>
    <w:p>
      <w:pPr>
        <w:pStyle w:val="Heading2"/>
      </w:pPr>
      <w:r>
        <w:t xml:space="preserve">Método de solução</w:t>
      </w:r>
    </w:p>
    <w:p>
      <w:pPr>
        <w:pStyle w:val="FirstParagraph"/>
      </w:pPr>
      <w:r>
        <w:t xml:space="preserve">A transição é resolvida por</w:t>
      </w:r>
      <w:r>
        <w:t xml:space="preserve"> </w:t>
      </w:r>
      <w:r>
        <w:rPr>
          <w:i/>
          <w:iCs/>
        </w:rPr>
        <w:t xml:space="preserve">previsão perfeita não linear</w:t>
      </w:r>
      <w:r>
        <w:t xml:space="preserve"> </w:t>
      </w:r>
      <w:r>
        <w:t xml:space="preserve">(</w:t>
      </w:r>
      <w:r>
        <w:rPr>
          <w:i/>
          <w:iCs/>
        </w:rPr>
        <w:t xml:space="preserve">stacked-time</w:t>
      </w:r>
      <w:r>
        <w:t xml:space="preserve"> </w:t>
      </w:r>
      <w:r>
        <w:t xml:space="preserve">/ Newton): dado o caminho exógeno de</w:t>
      </w:r>
      <w:r>
        <w:t xml:space="preserve">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e</m:t>
            </m:r>
          </m:sup>
        </m:sSubSup>
      </m:oMath>
      <w:r>
        <w:t xml:space="preserve">, calcula-se recursivamente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por </w:t>
      </w:r>
      <w:hyperlink w:anchor="eq:lomh">
        <w:r>
          <w:rPr>
            <w:rStyle w:val="Hyperlink"/>
          </w:rPr>
          <w:t xml:space="preserve">[eq:lomh]</w:t>
        </w:r>
      </w:hyperlink>
      <w:r>
        <w:t xml:space="preserve">; o sistema formado por </w:t>
      </w:r>
      <w:hyperlink w:anchor="eq:labor">
        <w:r>
          <w:rPr>
            <w:rStyle w:val="Hyperlink"/>
          </w:rPr>
          <w:t xml:space="preserve">[eq:labor]</w:t>
        </w:r>
      </w:hyperlink>
      <w:r>
        <w:t xml:space="preserve">, pela restrição de recursos e por </w:t>
      </w:r>
      <w:hyperlink w:anchor="eq:euler">
        <w:r>
          <w:rPr>
            <w:rStyle w:val="Hyperlink"/>
          </w:rPr>
          <w:t xml:space="preserve">[eq:euler]</w:t>
        </w:r>
      </w:hyperlink>
      <w:r>
        <w:t xml:space="preserve"> </w:t>
      </w:r>
      <w:r>
        <w:t xml:space="preserve">é empilhado em</w:t>
      </w:r>
      <w:r>
        <w:t xml:space="preserve"> </w:t>
      </w:r>
      <m:oMath>
        <m:r>
          <m:t>220</m:t>
        </m:r>
      </m:oMath>
      <w:r>
        <w:t xml:space="preserve"> </w:t>
      </w:r>
      <w:r>
        <w:t xml:space="preserve">períodos e resolvido por Newton (Levenberg–Marquardt). Diferentemente da versão anterior, adota-se</w:t>
      </w:r>
      <w:r>
        <w:t xml:space="preserve"> </w:t>
      </w:r>
      <w:r>
        <w:rPr>
          <w:i/>
          <w:iCs/>
        </w:rPr>
        <w:t xml:space="preserve">estado estacionário terminal endógeno</w:t>
      </w:r>
      <w:r>
        <w:t xml:space="preserve">: para cortes permanentes, o EE terminal é o do novo nível de gasto (solução fechada, Apêndice </w:t>
      </w:r>
      <w:hyperlink w:anchor="ap:ss">
        <w:r>
          <w:rPr>
            <w:rStyle w:val="Hyperlink"/>
          </w:rPr>
          <w:t xml:space="preserve">16</w:t>
        </w:r>
      </w:hyperlink>
      <w:r>
        <w:t xml:space="preserve">), evitando o viés de fixar o EE antigo. A solução converge com resíduo máximo da ordem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bookmarkEnd w:id="44"/>
    <w:bookmarkEnd w:id="45"/>
    <w:bookmarkStart w:id="66" w:name="sec:resultados-dsge"/>
    <w:p>
      <w:pPr>
        <w:pStyle w:val="Heading1"/>
      </w:pPr>
      <w:r>
        <w:t xml:space="preserve">Resultados do DSGE: o prejuízo de cortar educação</w:t>
      </w:r>
    </w:p>
    <w:bookmarkStart w:id="51" w:name="funções-impulso-resposta"/>
    <w:p>
      <w:pPr>
        <w:pStyle w:val="Heading2"/>
      </w:pPr>
      <w:r>
        <w:t xml:space="preserve">Funções impulso-resposta</w:t>
      </w:r>
    </w:p>
    <w:p>
      <w:pPr>
        <w:pStyle w:val="FirstParagraph"/>
      </w:pPr>
      <w:r>
        <w:t xml:space="preserve">A Figura </w:t>
      </w:r>
      <w:hyperlink w:anchor="fig:irf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apresenta as respostas a um corte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no gasto educacional em dois cenários: transitório (AR(1),</w:t>
      </w:r>
      <w: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) e</w:t>
      </w:r>
      <w:r>
        <w:t xml:space="preserve"> </w:t>
      </w:r>
      <w:r>
        <w:rPr>
          <w:i/>
          <w:iCs/>
        </w:rPr>
        <w:t xml:space="preserve">permanente</w:t>
      </w:r>
      <w:r>
        <w:t xml:space="preserve">. No transitório, todas as variáveis caem e retornam gradualmente; no permanente, as perdas convergem para um novo estado estacionário inferior – o capital humano cai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(exatamente</w:t>
      </w:r>
      <w:r>
        <w:t xml:space="preserve"> </w:t>
      </w:r>
      <m:oMath>
        <m:r>
          <m:t>ϕ</m:t>
        </m:r>
        <m:r>
          <m:rPr>
            <m:sty m:val="p"/>
          </m:rPr>
          <m:t>%</m:t>
        </m:r>
      </m:oMath>
      <w:r>
        <w:t xml:space="preserve">), arrastando produto 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%</m:t>
        </m:r>
      </m:oMath>
      <w:r>
        <w:t xml:space="preserve">), salários e arrecadação. A Tabela </w:t>
      </w:r>
      <w:hyperlink w:anchor="tab:irf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quantifica as perdas: o investimento é a variável de maior queda inicial (antecipação da menor produtividade futura) e o consumo cai com defasagem (suavização intertemporal).</w:t>
      </w:r>
    </w:p>
    <w:bookmarkStart w:id="49" w:name="fig:irf"/>
    <w:p>
      <w:pPr>
        <w:pStyle w:val="CaptionedFigure"/>
      </w:pPr>
      <w:r>
        <w:drawing>
          <wp:inline>
            <wp:extent cx="5321935" cy="309639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irf_corte_educacao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09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Simulação DSGE por previsão perfeita não linear.</w:t>
      </w:r>
    </w:p>
    <w:bookmarkEnd w:id="49"/>
    <w:bookmarkStart w:id="50" w:name="tab:irf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Impacto (t=0)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acum. 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acum. 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Arrecadacao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1,283</w:t>
            </w:r>
          </w:p>
        </w:tc>
      </w:tr>
    </w:tbl>
    <w:bookmarkEnd w:id="50"/>
    <w:p>
      <w:pPr>
        <w:pStyle w:val="BodyText"/>
      </w:pPr>
      <w:r>
        <w:t xml:space="preserve">Nota:</w:t>
      </w:r>
      <w:r>
        <w:t xml:space="preserve"> </w:t>
      </w:r>
      <w:r>
        <w:t xml:space="preserve">“Perda acum.”</w:t>
      </w:r>
      <w:r>
        <w:t xml:space="preserve"> </w:t>
      </w:r>
      <w:r>
        <w:t xml:space="preserve">é a soma descontada (fator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96</m:t>
        </m:r>
      </m:oMath>
      <w:r>
        <w:t xml:space="preserve">) dos desvios no horizonte, em pontos percentuais-ano. A arrecadação acompanha o produto pois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.</w:t>
      </w:r>
    </w:p>
    <w:bookmarkEnd w:id="51"/>
    <w:bookmarkStart w:id="65" w:name="Xd7f24b8988105eb20eaa02b991ed0d107904a72"/>
    <w:p>
      <w:pPr>
        <w:pStyle w:val="Heading2"/>
      </w:pPr>
      <w:r>
        <w:t xml:space="preserve">Escala do corte: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e o teto de gasto</w:t>
      </w:r>
    </w:p>
    <w:p>
      <w:pPr>
        <w:pStyle w:val="FirstParagraph"/>
      </w:pPr>
      <w:r>
        <w:t xml:space="preserve">A Figura </w:t>
      </w:r>
      <w:hyperlink w:anchor="fig:multi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e a Tabela </w:t>
      </w:r>
      <w:hyperlink w:anchor="tab:cenario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escalam o choque. As perdas de longo prazo crescem de forma quase proporcional à magnitude do corte: um corte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reduz o capital humano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e o produto em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; um corte de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em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, respectivamente. A Figura </w:t>
      </w:r>
      <w:hyperlink w:anchor="fig:perda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resume as perdas estruturais por magnitude. O cenário de</w:t>
      </w:r>
      <w:r>
        <w:t xml:space="preserve"> </w:t>
      </w:r>
      <w:r>
        <w:rPr>
          <w:i/>
          <w:iCs/>
        </w:rPr>
        <w:t xml:space="preserve">teto de gasto</w:t>
      </w:r>
      <w:r>
        <w:t xml:space="preserve"> </w:t>
      </w:r>
      <w:r>
        <w:t xml:space="preserve">(EC 95), em que o gasto educacional per capita é comprimido gradualmente até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ao longo de oito anos, produz uma trajetória de deterioração mais lenta, porém igualmente permanente (Figura </w:t>
      </w:r>
      <w:hyperlink w:anchor="fig:traj30">
        <w:r>
          <w:rPr>
            <w:rStyle w:val="Hyperlink"/>
          </w:rPr>
          <w:t xml:space="preserve">7</w:t>
        </w:r>
      </w:hyperlink>
      <w:r>
        <w:t xml:space="preserve">): a ausência de um</w:t>
      </w:r>
      <w:r>
        <w:t xml:space="preserve"> </w:t>
      </w:r>
      <w:r>
        <w:t xml:space="preserve">“salto”</w:t>
      </w:r>
      <w:r>
        <w:t xml:space="preserve"> </w:t>
      </w:r>
      <w:r>
        <w:t xml:space="preserve">inicial mascara, no curto prazo, um dano estrutural que se acumula por décadas.</w:t>
      </w:r>
    </w:p>
    <w:bookmarkStart w:id="55" w:name="fig:multi"/>
    <w:p>
      <w:pPr>
        <w:pStyle w:val="CaptionedFigure"/>
      </w:pPr>
      <w:r>
        <w:drawing>
          <wp:inline>
            <wp:extent cx="5321935" cy="348344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ures/irf_multi_cort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48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Simulação DSGE.</w:t>
      </w:r>
    </w:p>
    <w:bookmarkEnd w:id="55"/>
    <w:bookmarkStart w:id="56" w:name="tab:cenarios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Bem-estar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Mult. cum. 10a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(% cons.)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-8,266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</w:tr>
    </w:tbl>
    <w:bookmarkEnd w:id="56"/>
    <w:p>
      <w:pPr>
        <w:pStyle w:val="BodyText"/>
      </w:pPr>
      <w:r>
        <w:t xml:space="preserve">Nota: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L</m:t>
            </m:r>
            <m:r>
              <m:t>P</m:t>
            </m:r>
          </m:sub>
        </m:sSub>
      </m:oMath>
      <w:r>
        <w:t xml:space="preserve"> </w:t>
      </w:r>
      <w:r>
        <w:t xml:space="preserve">é o desvio percentual de longo prazo (novo EE). Bem-estar em equivalente de consumo permanente (perda %). Multiplicador acumulado de 10 anos = razão entre valores presentes de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.</w:t>
      </w:r>
    </w:p>
    <w:bookmarkStart w:id="60" w:name="fig:perdas"/>
    <w:p>
      <w:pPr>
        <w:pStyle w:val="CaptionedFigure"/>
      </w:pPr>
      <w:r>
        <w:drawing>
          <wp:inline>
            <wp:extent cx="5008880" cy="302839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perdas_por_cort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02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60"/>
    <w:bookmarkStart w:id="64" w:name="fig:traj30"/>
    <w:p>
      <w:pPr>
        <w:pStyle w:val="CaptionedFigure"/>
      </w:pPr>
      <w:r>
        <w:drawing>
          <wp:inline>
            <wp:extent cx="5321935" cy="348344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trajetoria_30ano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48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64"/>
    <w:bookmarkEnd w:id="65"/>
    <w:bookmarkEnd w:id="66"/>
    <w:bookmarkStart w:id="75" w:name="sec:laffer"/>
    <w:p>
      <w:pPr>
        <w:pStyle w:val="Heading1"/>
      </w:pPr>
      <w:r>
        <w:t xml:space="preserve">Custo fiscal líquido: o efeito Laffer dinâmico da educação</w:t>
      </w:r>
    </w:p>
    <w:p>
      <w:pPr>
        <w:pStyle w:val="FirstParagraph"/>
      </w:pPr>
      <w:r>
        <w:t xml:space="preserve">Ancorando o modelo em um PIB de R$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trilhões, traduzem-se as perdas em reais. O ponto central é que o corte</w:t>
      </w:r>
      <w:r>
        <w:t xml:space="preserve"> </w:t>
      </w:r>
      <w:r>
        <w:rPr>
          <w:i/>
          <w:iCs/>
        </w:rPr>
        <w:t xml:space="preserve">corrói a própria base tributária</w:t>
      </w:r>
      <w:r>
        <w:t xml:space="preserve">: a economia orçamentária imediata (</w:t>
      </w:r>
      <m:oMath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) é progressivamente revertida pela menor arrecadação futura (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τ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). A Tabela </w:t>
      </w:r>
      <w:hyperlink w:anchor="tab:fiscal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quantifica esse</w:t>
      </w:r>
      <w:r>
        <w:t xml:space="preserve"> </w:t>
      </w:r>
      <w:r>
        <w:rPr>
          <w:i/>
          <w:iCs/>
        </w:rPr>
        <w:t xml:space="preserve">efeito Laffer dinâmico da educação</w:t>
      </w:r>
      <w:r>
        <w:t xml:space="preserve">. Para um corte de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, a economia acumulada em valor presente de 10 anos é de R$</w:t>
      </w:r>
      <w:r>
        <w:t xml:space="preserve"> </w:t>
      </w:r>
      <m:oMath>
        <m:r>
          <m:t>457</m:t>
        </m:r>
      </m:oMath>
      <w:r>
        <w:t xml:space="preserve"> </w:t>
      </w:r>
      <w:r>
        <w:t xml:space="preserve">bilhões, mas a perda de arrecadação já consome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desse valor; em 30 anos, a erosão chega a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. A Figura </w:t>
      </w:r>
      <w:hyperlink w:anchor="fig:fiscal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mostra que, considerando os fluxos não descontados, a perda acumulada de arrecadação</w:t>
      </w:r>
      <w:r>
        <w:t xml:space="preserve"> </w:t>
      </w:r>
      <w:r>
        <w:rPr>
          <w:i/>
          <w:iCs/>
        </w:rPr>
        <w:t xml:space="preserve">ultrapassa</w:t>
      </w:r>
      <w:r>
        <w:t xml:space="preserve"> </w:t>
      </w:r>
      <w:r>
        <w:t xml:space="preserve">a economia orçamentária por volta do ano </w:t>
      </w:r>
      <m:oMath>
        <m:r>
          <m:t>33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break-even</w:t>
      </w:r>
      <w:r>
        <w:t xml:space="preserve">): a partir daí, o corte é fiscalmente autodestrutivo. O painel direito da mesma figura compara, por magnitude, a economia e a perda em valor presente de 20 anos. Isso confirma</w:t>
      </w:r>
      <w:r>
        <w:t xml:space="preserve"> </w:t>
      </w:r>
      <w:r>
        <w:rPr>
          <w:b/>
          <w:bCs/>
        </w:rPr>
        <w:t xml:space="preserve">H4</w:t>
      </w:r>
      <w:r>
        <w:t xml:space="preserve"> </w:t>
      </w:r>
      <w:r>
        <w:t xml:space="preserve">e qualifica drasticamente a lógica de austeridade: parcela substancial – e crescente no tempo – da</w:t>
      </w:r>
      <w:r>
        <w:t xml:space="preserve"> </w:t>
      </w:r>
      <w:r>
        <w:t xml:space="preserve">“economia”</w:t>
      </w:r>
      <w:r>
        <w:t xml:space="preserve"> </w:t>
      </w:r>
      <w:r>
        <w:t xml:space="preserve">é ilusória.</w:t>
      </w:r>
    </w:p>
    <w:bookmarkStart w:id="67" w:name="tab:fiscal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Fonte: Elaboração própria.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Horizonte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Economia 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arrec. 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Líquido (VP)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erodido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(anos)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bi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1.947,4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81,0%</w:t>
            </w:r>
          </w:p>
        </w:tc>
      </w:tr>
    </w:tbl>
    <w:bookmarkEnd w:id="67"/>
    <w:p>
      <w:pPr>
        <w:pStyle w:val="BodyText"/>
      </w:pPr>
      <w:r>
        <w:t xml:space="preserve">Nota: valores presentes com fator de desconto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96</m:t>
        </m:r>
      </m:oMath>
      <w:r>
        <w:t xml:space="preserve">.</w:t>
      </w:r>
      <w:r>
        <w:t xml:space="preserve"> </w:t>
      </w:r>
      <w:r>
        <w:t xml:space="preserve">“% erodido”</w:t>
      </w:r>
      <w:r>
        <w:t xml:space="preserve"> </w:t>
      </w:r>
      <w:r>
        <w:t xml:space="preserve">= perda de arrecadação / economia orçamentária. Âncora: PIB de R$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trilhões; gasto público em educação de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do PIB.</w:t>
      </w:r>
    </w:p>
    <w:bookmarkStart w:id="74" w:name="fig:fisca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179810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figures/custo_fiscal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1798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184421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figures/custo_fiscal_barras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1844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Elaboração própria.</w:t>
      </w:r>
    </w:p>
    <w:bookmarkEnd w:id="74"/>
    <w:bookmarkEnd w:id="75"/>
    <w:bookmarkStart w:id="81" w:name="sec:bemestar"/>
    <w:p>
      <w:pPr>
        <w:pStyle w:val="Heading1"/>
      </w:pPr>
      <w:r>
        <w:t xml:space="preserve">Bem-estar e multiplicadores</w:t>
      </w:r>
    </w:p>
    <w:p>
      <w:pPr>
        <w:pStyle w:val="FirstParagraph"/>
      </w:pPr>
      <w:r>
        <w:t xml:space="preserve">Além do custo fiscal, o corte impõe custo de</w:t>
      </w:r>
      <w:r>
        <w:t xml:space="preserve"> </w:t>
      </w:r>
      <w:r>
        <w:rPr>
          <w:i/>
          <w:iCs/>
        </w:rPr>
        <w:t xml:space="preserve">bem-estar</w:t>
      </w:r>
      <w:r>
        <w:t xml:space="preserve">. A Tabela </w:t>
      </w:r>
      <w:hyperlink w:anchor="tab:cenario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reporta a variação equivalente de consumo: um corte permanente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custa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08</m:t>
        </m:r>
        <m:r>
          <m:rPr>
            <m:sty m:val="p"/>
          </m:rPr>
          <m:t>%</m:t>
        </m:r>
      </m:oMath>
      <w:r>
        <w:t xml:space="preserve"> </w:t>
      </w:r>
      <w:r>
        <w:t xml:space="preserve">do consumo permanente; um de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expressivos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. A Figura </w:t>
      </w:r>
      <w:hyperlink w:anchor="fig:bemesta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(esq.) mostra a relação crescente entre magnitude do corte e perda de bem-estar. O</w:t>
      </w:r>
      <w:r>
        <w:t xml:space="preserve"> </w:t>
      </w:r>
      <w:r>
        <w:rPr>
          <w:i/>
          <w:iCs/>
        </w:rPr>
        <w:t xml:space="preserve">multiplicador acumulado</w:t>
      </w:r>
      <w:r>
        <w:t xml:space="preserve"> </w:t>
      </w:r>
      <w:r>
        <w:t xml:space="preserve">do gasto educacional sobre o produto – razão entre os valores presentes de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– supera a unidade e cresce no horizonte (Figura </w:t>
      </w:r>
      <w:hyperlink w:anchor="fig:bemestar">
        <w:r>
          <w:rPr>
            <w:rStyle w:val="Hyperlink"/>
          </w:rPr>
          <w:t xml:space="preserve">9</w:t>
        </w:r>
      </w:hyperlink>
      <w:r>
        <w:t xml:space="preserve">, dir.; Tabela </w:t>
      </w:r>
      <w:hyperlink w:anchor="tab:mult">
        <w:r>
          <w:rPr>
            <w:rStyle w:val="Hyperlink"/>
          </w:rPr>
          <w:t xml:space="preserve">9</w:t>
        </w:r>
      </w:hyperlink>
      <w:r>
        <w:t xml:space="preserve">), atingindo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em 10 anos e valores superiores em horizontes mais longos: cada real cortado em educação subtrai</w:t>
      </w:r>
      <w:r>
        <w:t xml:space="preserve"> </w:t>
      </w:r>
      <w:r>
        <w:rPr>
          <w:i/>
          <w:iCs/>
        </w:rPr>
        <w:t xml:space="preserve">mais de um real</w:t>
      </w:r>
      <w:r>
        <w:t xml:space="preserve"> </w:t>
      </w:r>
      <w:r>
        <w:t xml:space="preserve">de produto ao longo do tempo, porque o gasto é produtivo (constrói capital humano), não mera transferência.</w:t>
      </w:r>
    </w:p>
    <w:bookmarkStart w:id="79" w:name="fig:bemestar"/>
    <w:p>
      <w:pPr>
        <w:pStyle w:val="CaptionedFigure"/>
      </w:pPr>
      <w:r>
        <w:drawing>
          <wp:inline>
            <wp:extent cx="6261100" cy="250444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ures/bemestar_multiplicado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79"/>
    <w:bookmarkStart w:id="80" w:name="tab:mult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5a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20a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Cum. 30a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</w:tr>
    </w:tbl>
    <w:bookmarkEnd w:id="80"/>
    <w:p>
      <w:pPr>
        <w:pStyle w:val="BodyText"/>
      </w:pPr>
      <w:r>
        <w:t xml:space="preserve">Nota: multiplicador de impacto =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0</m:t>
            </m:r>
          </m:sub>
          <m:sup>
            <m:r>
              <m:t>e</m:t>
            </m:r>
          </m:sup>
        </m:sSubSup>
      </m:oMath>
      <w:r>
        <w:t xml:space="preserve">; acumulado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anos = razão entre valores presentes de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até</w:t>
      </w:r>
      <w:r>
        <w:t xml:space="preserve"> </w:t>
      </w:r>
      <m:oMath>
        <m:r>
          <m:t>n</m:t>
        </m:r>
      </m:oMath>
      <w:r>
        <w:t xml:space="preserve">.</w:t>
      </w:r>
    </w:p>
    <w:bookmarkEnd w:id="81"/>
    <w:bookmarkStart w:id="99" w:name="sec:regional"/>
    <w:p>
      <w:pPr>
        <w:pStyle w:val="Heading1"/>
      </w:pPr>
      <w:r>
        <w:t xml:space="preserve">Incidência regional e desigualdade</w:t>
      </w:r>
    </w:p>
    <w:p>
      <w:pPr>
        <w:pStyle w:val="FirstParagraph"/>
      </w:pPr>
      <w:r>
        <w:t xml:space="preserve">A etapa final articula macro e região: combina-se a resposta salarial agregada do DSGE com as elasticidades regionais encolhidas (equação </w:t>
      </w:r>
      <w:hyperlink w:anchor="eq:eb">
        <w:r>
          <w:rPr>
            <w:rStyle w:val="Hyperlink"/>
          </w:rPr>
          <w:t xml:space="preserve">[eq:eb]</w:t>
        </w:r>
      </w:hyperlink>
      <w:r>
        <w:t xml:space="preserve">) para projetar a perda salarial por UF e seu efeito sobre a desigualdade. A Figura </w:t>
      </w:r>
      <w:hyperlink w:anchor="fig:proj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e o mapa de calor da Figura </w:t>
      </w:r>
      <w:hyperlink w:anchor="fig:mapa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mostram que o prejuízo salarial concentra-se no Nordeste e no Norte, enquanto o Sudeste – de elasticidade próxima de zero – é quase imune. A Tabela </w:t>
      </w:r>
      <w:hyperlink w:anchor="tab:proj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lista os estados mais afetados.</w:t>
      </w:r>
    </w:p>
    <w:bookmarkStart w:id="88" w:name="fig:proj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21515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figures/projecao_regional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215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0550" cy="301874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figures/lorenz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018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Fonte: Combinação da IRF salarial do DSGE com elasticidades regionais encolhidas.</w:t>
      </w:r>
    </w:p>
    <w:bookmarkEnd w:id="88"/>
    <w:bookmarkStart w:id="92" w:name="fig:mapa"/>
    <w:p>
      <w:pPr>
        <w:pStyle w:val="CaptionedFigure"/>
      </w:pPr>
      <w:r>
        <w:drawing>
          <wp:inline>
            <wp:extent cx="6261100" cy="142297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igures/mapa_calor_uf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2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92"/>
    <w:p>
      <w:pPr>
        <w:pStyle w:val="BodyText"/>
      </w:pPr>
      <w:r>
        <w:t xml:space="preserve">O resultado distributivo central está na Figura </w:t>
      </w:r>
      <w:hyperlink w:anchor="fig:gini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e na Tabela </w:t>
      </w:r>
      <w:hyperlink w:anchor="tab:desig">
        <w:r>
          <w:rPr>
            <w:rStyle w:val="Hyperlink"/>
          </w:rPr>
          <w:t xml:space="preserve">10</w:t>
        </w:r>
      </w:hyperlink>
      <w:r>
        <w:t xml:space="preserve">: como o choque recai sobre as regiões mais pobres, a desigualdade salarial</w:t>
      </w:r>
      <w:r>
        <w:t xml:space="preserve"> </w:t>
      </w:r>
      <w:r>
        <w:rPr>
          <w:i/>
          <w:iCs/>
        </w:rPr>
        <w:t xml:space="preserve">entre</w:t>
      </w:r>
      <w:r>
        <w:t xml:space="preserve"> </w:t>
      </w:r>
      <w:r>
        <w:t xml:space="preserve">estados aumenta. O índice de Gini dos salários entre UF sobe de forma monótona com a magnitude do corte –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6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e expressivos</w:t>
      </w:r>
      <w:r>
        <w:t xml:space="preserve"> </w:t>
      </w:r>
      <m:oMath>
        <m:r>
          <m:rPr>
            <m:sty m:val="p"/>
          </m:rPr>
          <m:t>+</m:t>
        </m:r>
        <m:r>
          <m:t>17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– e a razão salarial Sudeste/Nordeste amplia-se de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65</m:t>
        </m:r>
      </m:oMath>
      <w:r>
        <w:t xml:space="preserve"> </w:t>
      </w:r>
      <w:r>
        <w:t xml:space="preserve">para até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82</m:t>
        </m:r>
      </m:oMath>
      <w:r>
        <w:t xml:space="preserve">. A curva de Lorenz (Figura </w:t>
      </w:r>
      <w:hyperlink w:anchor="fig:proj">
        <w:r>
          <w:rPr>
            <w:rStyle w:val="Hyperlink"/>
          </w:rPr>
          <w:t xml:space="preserve">10</w:t>
        </w:r>
      </w:hyperlink>
      <w:r>
        <w:t xml:space="preserve">, dir.) desloca-se para longe da diagonal. Confirma-se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em sua forma forte: o corte não só reduz agregados nacionais, mas</w:t>
      </w:r>
      <w:r>
        <w:t xml:space="preserve"> </w:t>
      </w:r>
      <w:r>
        <w:rPr>
          <w:i/>
          <w:iCs/>
        </w:rPr>
        <w:t xml:space="preserve">aprofunda a desigualdade regional</w:t>
      </w:r>
      <w:r>
        <w:t xml:space="preserve">, num mecanismo de</w:t>
      </w:r>
      <w:r>
        <w:t xml:space="preserve"> </w:t>
      </w:r>
      <w:r>
        <w:rPr>
          <w:i/>
          <w:iCs/>
        </w:rPr>
        <w:t xml:space="preserve">feedback</w:t>
      </w:r>
      <w:r>
        <w:t xml:space="preserve"> </w:t>
      </w:r>
      <w:r>
        <w:t xml:space="preserve">perverso – regiões pobres sofrem maior perda salarial e de arrecadação, comprometendo sua capacidade futura de financiar a própria educação.</w:t>
      </w:r>
    </w:p>
    <w:bookmarkStart w:id="96" w:name="fig:gini"/>
    <w:p>
      <w:pPr>
        <w:pStyle w:val="CaptionedFigure"/>
      </w:pPr>
      <w:r>
        <w:drawing>
          <wp:inline>
            <wp:extent cx="6261100" cy="250444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figures/desigualdade_gini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0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Fonte: Elaboração própria.</w:t>
      </w:r>
    </w:p>
    <w:bookmarkEnd w:id="96"/>
    <w:bookmarkStart w:id="97" w:name="tab:desig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 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 depois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Gini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SE/NE 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SE/NE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1,815</w:t>
            </w:r>
          </w:p>
        </w:tc>
      </w:tr>
    </w:tbl>
    <w:bookmarkEnd w:id="97"/>
    <w:p>
      <w:pPr>
        <w:pStyle w:val="BodyText"/>
      </w:pPr>
      <w:r>
        <w:t xml:space="preserve">Nota: Gini e razão SE/NE dos salários médios entre UF, ponderados pela população (Censo 2022), antes e depois do choque permanente.</w:t>
      </w:r>
    </w:p>
    <w:bookmarkStart w:id="98" w:name="tab:proj"/>
    <w:p>
      <w:pPr>
        <w:pStyle w:val="TableCaption"/>
      </w:pPr>
      <w:r>
        <w:t xml:space="preserve">Fonte: Elaboração própria.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Elast. 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sal. 10a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Perda sal. 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</w:tr>
    </w:tbl>
    <w:bookmarkEnd w:id="98"/>
    <w:bookmarkEnd w:id="99"/>
    <w:bookmarkStart w:id="100" w:name="discussão"/>
    <w:p>
      <w:pPr>
        <w:pStyle w:val="Heading1"/>
      </w:pPr>
      <w:r>
        <w:t xml:space="preserve">Discussão</w:t>
      </w:r>
    </w:p>
    <w:p>
      <w:pPr>
        <w:pStyle w:val="FirstParagraph"/>
      </w:pPr>
      <w:r>
        <w:t xml:space="preserve">Os resultados articulam quatro níveis de evidência coerentes. No painel, a elasticidade salário-educação é positiva, significativa e regionalmente heterogênea. No DSGE, o canal estrutural – gasto público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capital humano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produtividade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salários e arrecadação – gera perdas persistentes, com multiplicador maior que a unidade e custo de bem-estar relevante. No plano fiscal, o corte corrói a base tributária a ponto de tornar-se autodestrutivo em horizonte longo. Na projeção regional, o prejuízo concentra-se nas regiões mais pobres e amplia a desigualdade.</w:t>
      </w:r>
    </w:p>
    <w:p>
      <w:pPr>
        <w:pStyle w:val="BodyText"/>
      </w:pPr>
      <w:r>
        <w:t xml:space="preserve">A heterogeneidade regional dialoga com a literatura de multiplicadores fiscais regionais</w:t>
      </w:r>
      <w:r>
        <w:t xml:space="preserve"> </w:t>
      </w:r>
      <w:r>
        <w:t xml:space="preserve">(Nakamura and Steinsson 2014; Chodorow-Reich 2019)</w:t>
      </w:r>
      <w:r>
        <w:t xml:space="preserve">: assim como o multiplicador local depende da estrutura da economia regional, a transmissão do gasto educacional aos salários depende da dependência local da oferta pública de capital humano. Do ponto de vista de política, regras fiscais uniformes – como tetos de gasto que comprimem despesas educacionais – têm efeitos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uniformes: penalizam desproporcionalmente as regiões mais vulneráveis e cobram um custo fiscal futuro que a contabilidade orçamentária de curto prazo ignora.</w:t>
      </w:r>
    </w:p>
    <w:bookmarkEnd w:id="100"/>
    <w:bookmarkStart w:id="101" w:name="análise-de-robustez"/>
    <w:p>
      <w:pPr>
        <w:pStyle w:val="Heading1"/>
      </w:pPr>
      <w:r>
        <w:t xml:space="preserve">Análise de robustez</w:t>
      </w:r>
    </w:p>
    <w:p>
      <w:pPr>
        <w:pStyle w:val="FirstParagraph"/>
      </w:pPr>
      <w:r>
        <w:t xml:space="preserve">A robustez foi avaliada em quatro dimensões.</w:t>
      </w:r>
      <w:r>
        <w:t xml:space="preserve"> </w:t>
      </w:r>
      <w:r>
        <w:rPr>
          <w:i/>
          <w:iCs/>
        </w:rPr>
        <w:t xml:space="preserve">Primeira</w:t>
      </w:r>
      <w:r>
        <w:t xml:space="preserve">, a inferência: os resultados do painel mantêm-se sob erros clusterizados, de Driscoll–Kraay e sob tendência (Tabela </w:t>
      </w:r>
      <w:hyperlink w:anchor="tab:fe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Segunda</w:t>
      </w:r>
      <w:r>
        <w:t xml:space="preserve">, a heterogeneidade: as elasticidades regionais ancoram o encolhimento empírico-bayesiano, eliminando estimativas estaduais espúrias.</w:t>
      </w:r>
      <w:r>
        <w:t xml:space="preserve"> </w:t>
      </w:r>
      <w:r>
        <w:rPr>
          <w:i/>
          <w:iCs/>
        </w:rPr>
        <w:t xml:space="preserve">Terceira</w:t>
      </w:r>
      <w:r>
        <w:t xml:space="preserve">, o DSGE: o resultado qualitativo (perdas em todas as variáveis) é invariante à persistência</w:t>
      </w:r>
      <w:r>
        <w:t xml:space="preserve"> </w:t>
      </w:r>
      <m:oMath>
        <m:sSub>
          <m:e>
            <m:r>
              <m:t>ρ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 à magnitude do choque, e a escala das perdas de longo prazo é governada por</w:t>
      </w:r>
      <w:r>
        <w:t xml:space="preserve"> </w:t>
      </w:r>
      <m:oMath>
        <m:r>
          <m:t>ϕ</m:t>
        </m:r>
      </m:oMath>
      <w:r>
        <w:t xml:space="preserve">; a adoção de estado estacionário terminal endógeno corrige um viés da solução anterior.</w:t>
      </w:r>
      <w:r>
        <w:t xml:space="preserve"> </w:t>
      </w:r>
      <w:r>
        <w:rPr>
          <w:i/>
          <w:iCs/>
        </w:rPr>
        <w:t xml:space="preserve">Quarta</w:t>
      </w:r>
      <w:r>
        <w:t xml:space="preserve">, a coerência interna: a solução converge com resíduo desprezível e o EE satisfaz as razões macroeconômicas usuais (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ao ano;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23</m:t>
        </m:r>
      </m:oMath>
      <w:r>
        <w:t xml:space="preserve">).</w:t>
      </w:r>
    </w:p>
    <w:bookmarkEnd w:id="101"/>
    <w:bookmarkStart w:id="102" w:name="sec:agenda"/>
    <w:p>
      <w:pPr>
        <w:pStyle w:val="Heading1"/>
      </w:pPr>
      <w:r>
        <w:t xml:space="preserve">Limitações e agenda empírica definitiva</w:t>
      </w:r>
    </w:p>
    <w:p>
      <w:pPr>
        <w:pStyle w:val="FirstParagraph"/>
      </w:pPr>
      <w:r>
        <w:t xml:space="preserve">As limitações são explícitas.</w:t>
      </w:r>
      <w:r>
        <w:t xml:space="preserve"> </w:t>
      </w:r>
      <w:r>
        <w:rPr>
          <w:i/>
          <w:iCs/>
        </w:rPr>
        <w:t xml:space="preserve">(i)</w:t>
      </w:r>
      <w:r>
        <w:t xml:space="preserve"> </w:t>
      </w:r>
      <w:r>
        <w:t xml:space="preserve">A base é calibrada, não observada; a versão definitiva requer microdados (RAIS, CAGED, PNAD Contínua) e séries oficiais (SICONFI/FINBRA, SIOP, SIDRA).</w:t>
      </w:r>
      <w:r>
        <w:t xml:space="preserve"> </w:t>
      </w:r>
      <w:r>
        <w:rPr>
          <w:i/>
          <w:iCs/>
        </w:rPr>
        <w:t xml:space="preserve">(ii)</w:t>
      </w:r>
      <w:r>
        <w:t xml:space="preserve"> </w:t>
      </w:r>
      <w:r>
        <w:t xml:space="preserve">O painel identifica associações condicionais; a identificação causal demanda painéis dinâmicos GMM</w:t>
      </w:r>
      <w:r>
        <w:t xml:space="preserve"> </w:t>
      </w:r>
      <w:r>
        <w:t xml:space="preserve">(Arellano and Bond 1991)</w:t>
      </w:r>
      <w:r>
        <w:t xml:space="preserve">, IV ou desenhos quase-experimentais (</w:t>
      </w:r>
      <w:r>
        <w:rPr>
          <w:i/>
          <w:iCs/>
        </w:rPr>
        <w:t xml:space="preserve">event study</w:t>
      </w:r>
      <w:r>
        <w:t xml:space="preserve"> </w:t>
      </w:r>
      <w:r>
        <w:t xml:space="preserve">em torno da EC 95).</w:t>
      </w:r>
      <w:r>
        <w:t xml:space="preserve"> </w:t>
      </w:r>
      <w:r>
        <w:rPr>
          <w:i/>
          <w:iCs/>
        </w:rPr>
        <w:t xml:space="preserve">(iii)</w:t>
      </w:r>
      <w:r>
        <w:t xml:space="preserve"> </w:t>
      </w:r>
      <w:r>
        <w:t xml:space="preserve">O gasto não distingue qualidade, nível de ensino, custeio e investimento.</w:t>
      </w:r>
      <w:r>
        <w:t xml:space="preserve"> </w:t>
      </w:r>
      <w:r>
        <w:rPr>
          <w:i/>
          <w:iCs/>
        </w:rPr>
        <w:t xml:space="preserve">(iv)</w:t>
      </w:r>
      <w:r>
        <w:t xml:space="preserve"> </w:t>
      </w:r>
      <w:r>
        <w:t xml:space="preserve">O DSGE é calibrado; uma versão estrutural estimaria parâmetros por métodos bayesianos</w:t>
      </w:r>
      <w:r>
        <w:t xml:space="preserve"> </w:t>
      </w:r>
      <w:r>
        <w:t xml:space="preserve">(Smets and Wouters 2007; Fernández-Villaverde et al. 2016)</w:t>
      </w:r>
      <w:r>
        <w:t xml:space="preserve"> </w:t>
      </w:r>
      <w:r>
        <w:t xml:space="preserve">e incorporaria rigidezes, heterogeneidade de agentes e bloco regional explícito.</w:t>
      </w:r>
    </w:p>
    <w:bookmarkEnd w:id="102"/>
    <w:bookmarkStart w:id="103" w:name="conclusão"/>
    <w:p>
      <w:pPr>
        <w:pStyle w:val="Heading1"/>
      </w:pPr>
      <w:r>
        <w:t xml:space="preserve">Conclusão</w:t>
      </w:r>
    </w:p>
    <w:p>
      <w:pPr>
        <w:pStyle w:val="FirstParagraph"/>
      </w:pPr>
      <w:r>
        <w:t xml:space="preserve">Este artigo integrou econometria de painel e um DSGE fiscal com capital humano para avaliar os efeitos do gasto público em educação sobre salários e dinâmica fiscal no Brasil. A evidência de painel indica elasticidade salário-educação positiva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17</m:t>
        </m:r>
      </m:oMath>
      <w:r>
        <w:t xml:space="preserve">) e fortemente heterogênea, maior nas regiões mais pobres. O modelo estrutural mostra que cortes no gasto educacional geram perdas persistentes e escaláveis de produto, salários e arrecadação; impõem custo de bem-estar de até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do consumo; têm multiplicador maior que a unidade; e, sobretudo,</w:t>
      </w:r>
      <w:r>
        <w:t xml:space="preserve"> </w:t>
      </w:r>
      <w:r>
        <w:rPr>
          <w:i/>
          <w:iCs/>
        </w:rPr>
        <w:t xml:space="preserve">corroem a própria base fiscal</w:t>
      </w:r>
      <w:r>
        <w:t xml:space="preserve"> </w:t>
      </w:r>
      <w:r>
        <w:t xml:space="preserve">a ponto de tornar-se autodestrutivos no longo prazo – um efeito Laffer dinâmico da educação.</w:t>
      </w:r>
    </w:p>
    <w:p>
      <w:pPr>
        <w:pStyle w:val="BodyText"/>
      </w:pPr>
      <w:r>
        <w:t xml:space="preserve">A principal contribuição substantiva é demonstrar que contenções em educação são economicamente custosas e</w:t>
      </w:r>
      <w:r>
        <w:t xml:space="preserve"> </w:t>
      </w:r>
      <w:r>
        <w:rPr>
          <w:i/>
          <w:iCs/>
        </w:rPr>
        <w:t xml:space="preserve">regressivas no espaço</w:t>
      </w:r>
      <w:r>
        <w:t xml:space="preserve">: o prejuízo salarial recai sobre o Norte e o Nordeste, elevando o Gini salarial entre estados em até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%</m:t>
        </m:r>
      </m:oMath>
      <w:r>
        <w:t xml:space="preserve">. A contribuição metodológica está no arcabouço reprodutível que integra painel, DSGE não linear com EE terminal endógeno e projeção regional de desigualdade. O passo seguinte para publicação plena é substituir a base calibrada por microdados, reforçar a identificação causal e estimar o DSGE estruturalmente.</w:t>
      </w:r>
    </w:p>
    <w:bookmarkEnd w:id="103"/>
    <w:bookmarkStart w:id="104" w:name="declaração-sobre-uso-de-ia-generativa"/>
    <w:p>
      <w:pPr>
        <w:pStyle w:val="Heading1"/>
      </w:pPr>
      <w:r>
        <w:t xml:space="preserve">Declaração sobre uso de IA generativa</w:t>
      </w:r>
    </w:p>
    <w:p>
      <w:pPr>
        <w:pStyle w:val="FirstParagraph"/>
      </w:pPr>
      <w:r>
        <w:t xml:space="preserve">Este documento foi organizado e redigido com auxílio de IA generativa, a partir de código, modelos, calibrações e instruções fornecidos pelo autor. A concepção do problema, a interpretação final, a revisão técnica, a validação dos resultados e a responsabilidade científica permanecem integralmente atribuídas ao autor.</w:t>
      </w:r>
    </w:p>
    <w:bookmarkEnd w:id="104"/>
    <w:bookmarkStart w:id="105" w:name="ap:deriv"/>
    <w:p>
      <w:pPr>
        <w:pStyle w:val="Heading1"/>
      </w:pPr>
      <w:r>
        <w:t xml:space="preserve">Derivação das condições de equilíbrio</w:t>
      </w:r>
    </w:p>
    <w:p>
      <w:pPr>
        <w:pStyle w:val="FirstParagraph"/>
      </w:pPr>
      <w:r>
        <w:t xml:space="preserve">O lagrangeano da família, com multiplicador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</m:oMath>
      <w:r>
        <w:t xml:space="preserve">, gera as CPO em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</m:oMath>
      <w:r>
        <w:t xml:space="preserve">;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t</m:t>
            </m:r>
          </m:sub>
        </m:sSub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 Substituindo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obtêm-se </w:t>
      </w:r>
      <w:hyperlink w:anchor="eq:euler">
        <w:r>
          <w:rPr>
            <w:rStyle w:val="Hyperlink"/>
          </w:rPr>
          <w:t xml:space="preserve">[eq:euler]</w:t>
        </w:r>
      </w:hyperlink>
      <w:r>
        <w:t xml:space="preserve"> </w:t>
      </w:r>
      <w:r>
        <w:t xml:space="preserve">e </w:t>
      </w:r>
      <w:hyperlink w:anchor="eq:labor">
        <w:r>
          <w:rPr>
            <w:rStyle w:val="Hyperlink"/>
          </w:rPr>
          <w:t xml:space="preserve">[eq:labor]</w:t>
        </w:r>
      </w:hyperlink>
      <w:r>
        <w:t xml:space="preserve">. Com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, a oferta de trabalho assume a forma operacional usada na solução.</w:t>
      </w:r>
    </w:p>
    <w:bookmarkEnd w:id="105"/>
    <w:bookmarkStart w:id="106" w:name="ap:ss"/>
    <w:p>
      <w:pPr>
        <w:pStyle w:val="Heading1"/>
      </w:pPr>
      <w:r>
        <w:t xml:space="preserve">Estado estacionário e EE terminal endógeno</w:t>
      </w:r>
    </w:p>
    <w:p>
      <w:pPr>
        <w:pStyle w:val="FirstParagraph"/>
      </w:pPr>
      <w:r>
        <w:t xml:space="preserve">No EE, a equação de Euler implica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  <m:r>
          <m:t>α</m:t>
        </m:r>
        <m:r>
          <m:t>Y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, donde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R</m:t>
            </m:r>
          </m:e>
        </m:acc>
      </m:oMath>
      <w:r>
        <w:t xml:space="preserve"> </w:t>
      </w:r>
      <w:r>
        <w:t xml:space="preserve">com</w:t>
      </w:r>
      <w:r>
        <w:t xml:space="preserve"> </w:t>
      </w:r>
      <m:oMath>
        <m:acc>
          <m:accPr>
            <m:chr m:val="̃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τ</m:t>
        </m:r>
        <m:r>
          <m:rPr>
            <m:sty m:val="p"/>
          </m:rPr>
          <m:t>)</m:t>
        </m:r>
      </m:oMath>
      <w:r>
        <w:t xml:space="preserve">. Para um nível</w:t>
      </w:r>
      <w:r>
        <w:t xml:space="preserve"> </w:t>
      </w:r>
      <w:r>
        <w:rPr>
          <w:i/>
          <w:iCs/>
        </w:rPr>
        <w:t xml:space="preserve">fixo</w:t>
      </w:r>
      <w:r>
        <w:t xml:space="preserve"> </w:t>
      </w:r>
      <w:r>
        <w:t xml:space="preserve">de gasto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(usado como condição terminal em cortes permanentes), o EE tem solução fechada: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sSup>
          <m:e>
            <m:r>
              <m:t>G</m:t>
            </m:r>
          </m:e>
          <m:sup>
            <m:r>
              <m:t>e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ϕ</m:t>
            </m:r>
          </m:sup>
        </m:sSup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t>h</m:t>
            </m:r>
          </m:sub>
        </m:sSub>
      </m:oMath>
      <w:r>
        <w:t xml:space="preserve">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  <m:r>
          <m:t> </m:t>
        </m:r>
        <m:r>
          <m:t>H</m:t>
        </m:r>
        <m:r>
          <m:t> </m:t>
        </m:r>
        <m:r>
          <m:t>l</m:t>
        </m:r>
      </m:oMath>
      <w:r>
        <w:t xml:space="preserve"> </w:t>
      </w:r>
      <w:r>
        <w:t xml:space="preserve">com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R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)</m:t>
            </m:r>
          </m:sup>
        </m:sSup>
      </m:oMath>
      <w:r>
        <w:t xml:space="preserve">; e, da oferta de trabalho e da restrição de recursos,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B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θ</m:t>
              </m:r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t>B</m:t>
              </m:r>
              <m:r>
                <m:t> </m:t>
              </m:r>
              <m:r>
                <m:t>H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  <m:r>
                <m:t>K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 a calibração da Tabela </w:t>
      </w:r>
      <w:hyperlink w:anchor="tab:dsgepar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e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s</m:t>
            </m:r>
            <m:r>
              <m:t>s</m:t>
            </m:r>
          </m:sub>
          <m:sup>
            <m:r>
              <m:t>e</m:t>
            </m:r>
          </m:sup>
        </m:sSubSup>
      </m:oMath>
      <w:r>
        <w:t xml:space="preserve">, recupera-se o EE base: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89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76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. Uma redução permanente de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em</w:t>
      </w:r>
      <w:r>
        <w:t xml:space="preserve"> </w:t>
      </w:r>
      <m:oMath>
        <m:sSup>
          <m:e>
            <m:r>
              <m:t>G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reduz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em</w:t>
      </w:r>
      <w:r>
        <w:t xml:space="preserve"> </w:t>
      </w:r>
      <m:oMath>
        <m:r>
          <m:t>ϕ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no novo EE.</w:t>
      </w:r>
    </w:p>
    <w:bookmarkEnd w:id="106"/>
    <w:bookmarkStart w:id="108" w:name="ap:elast"/>
    <w:p>
      <w:pPr>
        <w:pStyle w:val="Heading1"/>
      </w:pPr>
      <w:r>
        <w:t xml:space="preserve">Elasticidades estaduais</w:t>
      </w:r>
    </w:p>
    <w:bookmarkStart w:id="107" w:name="tab:elastuf"/>
    <w:p>
      <w:pPr>
        <w:pStyle w:val="TableCaption"/>
      </w:pPr>
      <w:r>
        <w:t xml:space="preserve">Fonte: Elaboração própria a partir de 2.000 reamostragens.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onte: Elaboração própria a partir de 2.000 reamostragen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Elast.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inf.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sup.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Sig. 95%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Elast. 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bookmarkEnd w:id="107"/>
    <w:bookmarkEnd w:id="108"/>
    <w:bookmarkStart w:id="146" w:name="ap:repro"/>
    <w:p>
      <w:pPr>
        <w:pStyle w:val="Heading1"/>
      </w:pPr>
      <w:r>
        <w:t xml:space="preserve">Reprodutibilidade</w:t>
      </w:r>
    </w:p>
    <w:p>
      <w:pPr>
        <w:pStyle w:val="FirstParagraph"/>
      </w:pPr>
      <w:r>
        <w:t xml:space="preserve">O repositório contém:</w:t>
      </w:r>
      <w:r>
        <w:t xml:space="preserve"> </w:t>
      </w:r>
      <w:r>
        <w:rPr>
          <w:rStyle w:val="VerbatimChar"/>
        </w:rPr>
        <w:t xml:space="preserve">code/_common.py</w:t>
      </w:r>
      <w:r>
        <w:t xml:space="preserve"> </w:t>
      </w:r>
      <w:r>
        <w:t xml:space="preserve">(constantes e utilitários);</w:t>
      </w:r>
      <w:r>
        <w:t xml:space="preserve"> </w:t>
      </w:r>
      <w:r>
        <w:rPr>
          <w:rStyle w:val="VerbatimChar"/>
        </w:rPr>
        <w:t xml:space="preserve">code/01_empirical_painel.py</w:t>
      </w:r>
      <w:r>
        <w:t xml:space="preserve"> </w:t>
      </w:r>
      <w:r>
        <w:t xml:space="preserve">(base calibrada, FE bidirecional, Driscoll–Kraay, Hausman,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estadual, elasticidades regionais e encolhimento EB);</w:t>
      </w:r>
      <w:r>
        <w:t xml:space="preserve"> </w:t>
      </w:r>
      <w:r>
        <w:rPr>
          <w:rStyle w:val="VerbatimChar"/>
        </w:rPr>
        <w:t xml:space="preserve">code/02_dsge_capital_humano.py</w:t>
      </w:r>
      <w:r>
        <w:t xml:space="preserve"> </w:t>
      </w:r>
      <w:r>
        <w:t xml:space="preserve">(EE, solução por previsão perfeita não linear com EE terminal endógeno, cenários de corte, custo fiscal em R$, bem-estar, multiplicadores, desigualdade regional). Portes equivalentes em R (RStudio) estão em</w:t>
      </w:r>
      <w:r>
        <w:t xml:space="preserve"> </w:t>
      </w:r>
      <w:r>
        <w:rPr>
          <w:rStyle w:val="VerbatimChar"/>
        </w:rPr>
        <w:t xml:space="preserve">code/03_empirical_painel.R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code/04_dsge_capital_humano.R</w:t>
      </w:r>
      <w:r>
        <w:t xml:space="preserve">, com coleta oficial via API ativável por</w:t>
      </w:r>
      <w:r>
        <w:t xml:space="preserve"> </w:t>
      </w:r>
      <w:r>
        <w:rPr>
          <w:rStyle w:val="VerbatimChar"/>
        </w:rPr>
        <w:t xml:space="preserve">use_api &lt;- TRUE</w:t>
      </w:r>
      <w:r>
        <w:t xml:space="preserve">. Todas as figuras (</w:t>
      </w:r>
      <w:r>
        <w:rPr>
          <w:rStyle w:val="VerbatimChar"/>
        </w:rPr>
        <w:t xml:space="preserve">paper/figures/</w:t>
      </w:r>
      <w:r>
        <w:t xml:space="preserve">) e tabelas (</w:t>
      </w:r>
      <w:r>
        <w:rPr>
          <w:rStyle w:val="VerbatimChar"/>
        </w:rPr>
        <w:t xml:space="preserve">paper/tables/</w:t>
      </w:r>
      <w:r>
        <w:t xml:space="preserve">) são geradas por esses roteiros;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executa o pipeline completo.</w:t>
      </w:r>
    </w:p>
    <w:bookmarkStart w:id="145" w:name="refs"/>
    <w:bookmarkStart w:id="109" w:name="ref-adjemian2011"/>
    <w:p>
      <w:pPr>
        <w:pStyle w:val="Bibliography"/>
      </w:pPr>
      <w:r>
        <w:t xml:space="preserve">Adjemian, Stéphane, Houtan Bastani, Michel Juillard, et al.</w:t>
      </w:r>
      <w:r>
        <w:t xml:space="preserve"> 2011.</w:t>
      </w:r>
      <w:r>
        <w:t xml:space="preserve"> </w:t>
      </w:r>
      <w:r>
        <w:t xml:space="preserve">“Dynare: Reference Manual, Version 4.”</w:t>
      </w:r>
      <w:r>
        <w:t xml:space="preserve"> </w:t>
      </w:r>
      <w:r>
        <w:rPr>
          <w:i/>
          <w:iCs/>
        </w:rPr>
        <w:t xml:space="preserve">CEPREMAP Dynare Working Papers</w:t>
      </w:r>
      <w:r>
        <w:t xml:space="preserve">, no. 1.</w:t>
      </w:r>
    </w:p>
    <w:bookmarkEnd w:id="109"/>
    <w:bookmarkStart w:id="110" w:name="ref-arellanobond1991"/>
    <w:p>
      <w:pPr>
        <w:pStyle w:val="Bibliography"/>
      </w:pPr>
      <w:r>
        <w:t xml:space="preserve">Arellano, Manuel, and Stephen Bond. 1991.</w:t>
      </w:r>
      <w:r>
        <w:t xml:space="preserve"> </w:t>
      </w:r>
      <w:r>
        <w:t xml:space="preserve">“Some Tests of Specification for Panel Data: Monte Carlo Evidence and an Application to Employment Equations.”</w:t>
      </w:r>
      <w:r>
        <w:t xml:space="preserve"> </w:t>
      </w:r>
      <w:r>
        <w:rPr>
          <w:i/>
          <w:iCs/>
        </w:rPr>
        <w:t xml:space="preserve">Review of Economic Studies</w:t>
      </w:r>
      <w:r>
        <w:t xml:space="preserve"> </w:t>
      </w:r>
      <w:r>
        <w:t xml:space="preserve">58 (2): 277–97.</w:t>
      </w:r>
    </w:p>
    <w:bookmarkEnd w:id="110"/>
    <w:bookmarkStart w:id="111" w:name="ref-aschauer1989"/>
    <w:p>
      <w:pPr>
        <w:pStyle w:val="Bibliography"/>
      </w:pPr>
      <w:r>
        <w:t xml:space="preserve">Aschauer, David Alan. 1989.</w:t>
      </w:r>
      <w:r>
        <w:t xml:space="preserve"> </w:t>
      </w:r>
      <w:r>
        <w:t xml:space="preserve">“Is Public Expenditure Productive?”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 </w:t>
      </w:r>
      <w:r>
        <w:t xml:space="preserve">23 (2): 177–200.</w:t>
      </w:r>
    </w:p>
    <w:bookmarkEnd w:id="111"/>
    <w:bookmarkStart w:id="112" w:name="ref-barro1990"/>
    <w:p>
      <w:pPr>
        <w:pStyle w:val="Bibliography"/>
      </w:pPr>
      <w:r>
        <w:t xml:space="preserve">Barro, Robert J. 1990.</w:t>
      </w:r>
      <w:r>
        <w:t xml:space="preserve"> </w:t>
      </w:r>
      <w:r>
        <w:t xml:space="preserve">“Government Spending in a Simple Model of Endogenous Growth.”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98 (5): S103–25.</w:t>
      </w:r>
    </w:p>
    <w:bookmarkEnd w:id="112"/>
    <w:bookmarkStart w:id="113" w:name="ref-blankenausimpson2004"/>
    <w:p>
      <w:pPr>
        <w:pStyle w:val="Bibliography"/>
      </w:pPr>
      <w:r>
        <w:t xml:space="preserve">Blankenau, William F., and Nicole B. Simpson. 2004.</w:t>
      </w:r>
      <w:r>
        <w:t xml:space="preserve"> </w:t>
      </w:r>
      <w:r>
        <w:t xml:space="preserve">“Public Education Expenditures and Growth.”</w:t>
      </w:r>
      <w:r>
        <w:t xml:space="preserve"> </w:t>
      </w:r>
      <w:r>
        <w:rPr>
          <w:i/>
          <w:iCs/>
        </w:rPr>
        <w:t xml:space="preserve">Journal of Development Economics</w:t>
      </w:r>
      <w:r>
        <w:t xml:space="preserve"> </w:t>
      </w:r>
      <w:r>
        <w:t xml:space="preserve">73 (2): 583–605.</w:t>
      </w:r>
    </w:p>
    <w:bookmarkEnd w:id="113"/>
    <w:bookmarkStart w:id="114" w:name="ref-blankenau2007"/>
    <w:p>
      <w:pPr>
        <w:pStyle w:val="Bibliography"/>
      </w:pPr>
      <w:r>
        <w:t xml:space="preserve">Blankenau, William F., Nicole B. Simpson, and Marc Tomljanovich. 2007.</w:t>
      </w:r>
      <w:r>
        <w:t xml:space="preserve"> </w:t>
      </w:r>
      <w:r>
        <w:t xml:space="preserve">“Public Education Expenditures, Taxation, and Growth: Linking Data to Theory.”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97 (2): 393–97.</w:t>
      </w:r>
    </w:p>
    <w:bookmarkEnd w:id="114"/>
    <w:bookmarkStart w:id="115" w:name="ref-bomligthart2014"/>
    <w:p>
      <w:pPr>
        <w:pStyle w:val="Bibliography"/>
      </w:pPr>
      <w:r>
        <w:t xml:space="preserve">Bom, Pedro R. D., and Jenny E. Ligthart. 2014.</w:t>
      </w:r>
      <w:r>
        <w:t xml:space="preserve"> </w:t>
      </w:r>
      <w:r>
        <w:t xml:space="preserve">“What Have We Learned from Three Decades of Research on the Productivity of Public Capital?”</w:t>
      </w:r>
      <w:r>
        <w:t xml:space="preserve"> </w:t>
      </w:r>
      <w:r>
        <w:rPr>
          <w:i/>
          <w:iCs/>
        </w:rPr>
        <w:t xml:space="preserve">Journal of Economic Surveys</w:t>
      </w:r>
      <w:r>
        <w:t xml:space="preserve"> </w:t>
      </w:r>
      <w:r>
        <w:t xml:space="preserve">28 (5): 889–916.</w:t>
      </w:r>
    </w:p>
    <w:bookmarkEnd w:id="115"/>
    <w:bookmarkStart w:id="116" w:name="ref-card2001"/>
    <w:p>
      <w:pPr>
        <w:pStyle w:val="Bibliography"/>
      </w:pPr>
      <w:r>
        <w:t xml:space="preserve">Card, David. 2001.</w:t>
      </w:r>
      <w:r>
        <w:t xml:space="preserve"> </w:t>
      </w:r>
      <w:r>
        <w:t xml:space="preserve">“Estimating the Return to Schooling: Progress on Some Persistent Econometric Problems.”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69 (5): 1127–60.</w:t>
      </w:r>
    </w:p>
    <w:bookmarkEnd w:id="116"/>
    <w:bookmarkStart w:id="117" w:name="ref-castro2015samba"/>
    <w:p>
      <w:pPr>
        <w:pStyle w:val="Bibliography"/>
      </w:pPr>
      <w:r>
        <w:t xml:space="preserve">Castro, Marcos R. de, Solange N. Gouvea, André Minella, Rafael Santos, and Nelson F. Souza-Sobrinho. 2015.</w:t>
      </w:r>
      <w:r>
        <w:t xml:space="preserve"> </w:t>
      </w:r>
      <w:r>
        <w:t xml:space="preserve">“SAMBA: Stochastic Analytical Model with a Bayesian Approach.”</w:t>
      </w:r>
      <w:r>
        <w:t xml:space="preserve"> </w:t>
      </w:r>
      <w:r>
        <w:rPr>
          <w:i/>
          <w:iCs/>
        </w:rPr>
        <w:t xml:space="preserve">Brazilian Review of Econometrics</w:t>
      </w:r>
      <w:r>
        <w:t xml:space="preserve"> </w:t>
      </w:r>
      <w:r>
        <w:t xml:space="preserve">35 (2): 103–70.</w:t>
      </w:r>
    </w:p>
    <w:bookmarkEnd w:id="117"/>
    <w:bookmarkStart w:id="118" w:name="ref-cavalcantivereda2015"/>
    <w:p>
      <w:pPr>
        <w:pStyle w:val="Bibliography"/>
      </w:pPr>
      <w:r>
        <w:t xml:space="preserve">Cavalcanti, Marco A. F. H., and Luciano Vereda. 2015.</w:t>
      </w:r>
      <w:r>
        <w:t xml:space="preserve"> </w:t>
      </w:r>
      <w:r>
        <w:t xml:space="preserve">“Fiscal Policy Multipliers in a DSGE Model for Brazil.”</w:t>
      </w:r>
      <w:r>
        <w:t xml:space="preserve"> </w:t>
      </w:r>
      <w:r>
        <w:rPr>
          <w:i/>
          <w:iCs/>
        </w:rPr>
        <w:t xml:space="preserve">Brazilian Review of Econometrics</w:t>
      </w:r>
      <w:r>
        <w:t xml:space="preserve"> </w:t>
      </w:r>
      <w:r>
        <w:t xml:space="preserve">35 (2): 197–232.</w:t>
      </w:r>
    </w:p>
    <w:bookmarkEnd w:id="118"/>
    <w:bookmarkStart w:id="119" w:name="ref-chodorowreich2019"/>
    <w:p>
      <w:pPr>
        <w:pStyle w:val="Bibliography"/>
      </w:pPr>
      <w:r>
        <w:t xml:space="preserve">Chodorow-Reich, Gabriel. 2019.</w:t>
      </w:r>
      <w:r>
        <w:t xml:space="preserve"> </w:t>
      </w:r>
      <w:r>
        <w:t xml:space="preserve">“Geographic Cross-Sectional Fiscal Spending Multipliers: What Have We Learned?”</w:t>
      </w:r>
      <w:r>
        <w:t xml:space="preserve"> </w:t>
      </w:r>
      <w:r>
        <w:rPr>
          <w:i/>
          <w:iCs/>
        </w:rPr>
        <w:t xml:space="preserve">American Economic Journal: Economic Policy</w:t>
      </w:r>
      <w:r>
        <w:t xml:space="preserve"> </w:t>
      </w:r>
      <w:r>
        <w:t xml:space="preserve">11 (2): 1–34.</w:t>
      </w:r>
    </w:p>
    <w:bookmarkEnd w:id="119"/>
    <w:bookmarkStart w:id="120" w:name="ref-cee2005"/>
    <w:p>
      <w:pPr>
        <w:pStyle w:val="Bibliography"/>
      </w:pPr>
      <w:r>
        <w:t xml:space="preserve">Christiano, Lawrence J., Martin Eichenbaum, and Charles L. Evans. 2005.</w:t>
      </w:r>
      <w:r>
        <w:t xml:space="preserve"> </w:t>
      </w:r>
      <w:r>
        <w:t xml:space="preserve">“Nominal Rigidities and the Dynamic Effects of a Shock to Monetary Policy.”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113 (1): 1–45.</w:t>
      </w:r>
    </w:p>
    <w:bookmarkEnd w:id="120"/>
    <w:bookmarkStart w:id="121" w:name="ref-drautzburguhlig2015"/>
    <w:p>
      <w:pPr>
        <w:pStyle w:val="Bibliography"/>
      </w:pPr>
      <w:r>
        <w:t xml:space="preserve">Drautzburg, Thorsten, and Harald Uhlig. 2015.</w:t>
      </w:r>
      <w:r>
        <w:t xml:space="preserve"> </w:t>
      </w:r>
      <w:r>
        <w:t xml:space="preserve">“Fiscal Stimulus and Distortionary Taxation.”</w:t>
      </w:r>
      <w:r>
        <w:t xml:space="preserve"> </w:t>
      </w:r>
      <w:r>
        <w:rPr>
          <w:i/>
          <w:iCs/>
        </w:rPr>
        <w:t xml:space="preserve">Review of Economic Dynamics</w:t>
      </w:r>
      <w:r>
        <w:t xml:space="preserve"> </w:t>
      </w:r>
      <w:r>
        <w:t xml:space="preserve">18 (4): 894–920.</w:t>
      </w:r>
    </w:p>
    <w:bookmarkEnd w:id="121"/>
    <w:bookmarkStart w:id="122" w:name="ref-driscollkraay1998"/>
    <w:p>
      <w:pPr>
        <w:pStyle w:val="Bibliography"/>
      </w:pPr>
      <w:r>
        <w:t xml:space="preserve">Driscoll, John C., and Aart C. Kraay. 1998.</w:t>
      </w:r>
      <w:r>
        <w:t xml:space="preserve"> </w:t>
      </w:r>
      <w:r>
        <w:t xml:space="preserve">“Consistent Covariance Matrix Estimation with Spatially Dependent Panel Data.”</w:t>
      </w:r>
      <w:r>
        <w:t xml:space="preserve"> </w:t>
      </w:r>
      <w:r>
        <w:rPr>
          <w:i/>
          <w:iCs/>
        </w:rPr>
        <w:t xml:space="preserve">Review of Economics and Statistics</w:t>
      </w:r>
      <w:r>
        <w:t xml:space="preserve"> </w:t>
      </w:r>
      <w:r>
        <w:t xml:space="preserve">80 (4): 549–60.</w:t>
      </w:r>
    </w:p>
    <w:bookmarkEnd w:id="122"/>
    <w:bookmarkStart w:id="123" w:name="ref-efronmorris1975"/>
    <w:p>
      <w:pPr>
        <w:pStyle w:val="Bibliography"/>
      </w:pPr>
      <w:r>
        <w:t xml:space="preserve">Efron, Bradley, and Carl Morris. 1975.</w:t>
      </w:r>
      <w:r>
        <w:t xml:space="preserve"> </w:t>
      </w:r>
      <w:r>
        <w:t xml:space="preserve">“Data Analysis Using Stein’s Estimator and Its Generalizations.”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70 (350): 311–19.</w:t>
      </w:r>
    </w:p>
    <w:bookmarkEnd w:id="123"/>
    <w:bookmarkStart w:id="124" w:name="ref-efrontibshirani1993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Chapman; Hall.</w:t>
      </w:r>
    </w:p>
    <w:bookmarkEnd w:id="124"/>
    <w:bookmarkStart w:id="125" w:name="ref-farhiwerning2017"/>
    <w:p>
      <w:pPr>
        <w:pStyle w:val="Bibliography"/>
      </w:pPr>
      <w:r>
        <w:t xml:space="preserve">Farhi, Emmanuel, and Iván Werning. 2017.</w:t>
      </w:r>
      <w:r>
        <w:t xml:space="preserve"> </w:t>
      </w:r>
      <w:r>
        <w:t xml:space="preserve">“Fiscal Unions.”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107 (11): 3788–834.</w:t>
      </w:r>
    </w:p>
    <w:bookmarkEnd w:id="125"/>
    <w:bookmarkStart w:id="126" w:name="ref-fvrr2016"/>
    <w:p>
      <w:pPr>
        <w:pStyle w:val="Bibliography"/>
      </w:pPr>
      <w:r>
        <w:t xml:space="preserve">Fernández-Villaverde, Jesús, Juan F. Rubio-Ramírez, and Frank Schorfheide. 2016.</w:t>
      </w:r>
      <w:r>
        <w:t xml:space="preserve"> </w:t>
      </w:r>
      <w:r>
        <w:t xml:space="preserve">“Solution and Estimation Methods for DSGE Models.”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Macroeconomics</w:t>
      </w:r>
      <w:r>
        <w:t xml:space="preserve">, vol. 2. Elsevier.</w:t>
      </w:r>
    </w:p>
    <w:bookmarkEnd w:id="126"/>
    <w:bookmarkStart w:id="127" w:name="ref-galilv2007"/>
    <w:p>
      <w:pPr>
        <w:pStyle w:val="Bibliography"/>
      </w:pPr>
      <w:r>
        <w:t xml:space="preserve">Galí, Jordi, J. David López-Salido, and Javier Vallés. 2007.</w:t>
      </w:r>
      <w:r>
        <w:t xml:space="preserve"> </w:t>
      </w:r>
      <w:r>
        <w:t xml:space="preserve">“Understanding the Effects of Government Spending on Consumption.”</w:t>
      </w:r>
      <w:r>
        <w:t xml:space="preserve"> </w:t>
      </w:r>
      <w:r>
        <w:rPr>
          <w:i/>
          <w:iCs/>
        </w:rPr>
        <w:t xml:space="preserve">Journal of the European Economic Association</w:t>
      </w:r>
      <w:r>
        <w:t xml:space="preserve"> </w:t>
      </w:r>
      <w:r>
        <w:t xml:space="preserve">5 (1): 227–70.</w:t>
      </w:r>
    </w:p>
    <w:bookmarkEnd w:id="127"/>
    <w:bookmarkStart w:id="128" w:name="ref-glommravikumar1992"/>
    <w:p>
      <w:pPr>
        <w:pStyle w:val="Bibliography"/>
      </w:pPr>
      <w:r>
        <w:t xml:space="preserve">Glomm, Gerhard, and B. Ravikumar. 1992.</w:t>
      </w:r>
      <w:r>
        <w:t xml:space="preserve"> </w:t>
      </w:r>
      <w:r>
        <w:t xml:space="preserve">“Public Versus Private Investment in Human Capital: Endogenous Growth and Income Inequality.”</w:t>
      </w:r>
      <w:r>
        <w:t xml:space="preserve"> </w:t>
      </w:r>
      <w:r>
        <w:rPr>
          <w:i/>
          <w:iCs/>
        </w:rPr>
        <w:t xml:space="preserve">Journal of Political Economy</w:t>
      </w:r>
      <w:r>
        <w:t xml:space="preserve"> </w:t>
      </w:r>
      <w:r>
        <w:t xml:space="preserve">100 (4): 818–34.</w:t>
      </w:r>
    </w:p>
    <w:bookmarkEnd w:id="128"/>
    <w:bookmarkStart w:id="129" w:name="ref-hausman1978"/>
    <w:p>
      <w:pPr>
        <w:pStyle w:val="Bibliography"/>
      </w:pPr>
      <w:r>
        <w:t xml:space="preserve">Hausman, Jerry A. 1978.</w:t>
      </w:r>
      <w:r>
        <w:t xml:space="preserve"> </w:t>
      </w:r>
      <w:r>
        <w:t xml:space="preserve">“Specification Tests in Econometrics.”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46 (6): 1251–71.</w:t>
      </w:r>
    </w:p>
    <w:bookmarkEnd w:id="129"/>
    <w:bookmarkStart w:id="130" w:name="ref-heckman2006"/>
    <w:p>
      <w:pPr>
        <w:pStyle w:val="Bibliography"/>
      </w:pPr>
      <w:r>
        <w:t xml:space="preserve">Heckman, James J., Lance J. Lochner, and Petra E. Todd. 2006.</w:t>
      </w:r>
      <w:r>
        <w:t xml:space="preserve"> </w:t>
      </w:r>
      <w:r>
        <w:t xml:space="preserve">“Earnings Functions, Rates of Return and Treatment Effects: The Mincer Equation and Beyond.”</w:t>
      </w:r>
      <w:r>
        <w:t xml:space="preserve"> </w:t>
      </w:r>
      <w:r>
        <w:rPr>
          <w:i/>
          <w:iCs/>
        </w:rPr>
        <w:t xml:space="preserve">Handbook of the Economics of Education</w:t>
      </w:r>
      <w:r>
        <w:t xml:space="preserve"> </w:t>
      </w:r>
      <w:r>
        <w:t xml:space="preserve">1: 307–458.</w:t>
      </w:r>
    </w:p>
    <w:bookmarkEnd w:id="130"/>
    <w:bookmarkStart w:id="131" w:name="ref-jamesstein1961"/>
    <w:p>
      <w:pPr>
        <w:pStyle w:val="Bibliography"/>
      </w:pPr>
      <w:r>
        <w:t xml:space="preserve">James, W., and Charles Stein. 1961.</w:t>
      </w:r>
      <w:r>
        <w:t xml:space="preserve"> </w:t>
      </w:r>
      <w:r>
        <w:t xml:space="preserve">“Estimation with Quadratic Loss.”</w:t>
      </w:r>
      <w:r>
        <w:t xml:space="preserve"> </w:t>
      </w:r>
      <w:r>
        <w:rPr>
          <w:i/>
          <w:iCs/>
        </w:rPr>
        <w:t xml:space="preserve">Proceedings of the Fourth Berkeley Symposium on Mathematical Statistics and Probability</w:t>
      </w:r>
      <w:r>
        <w:t xml:space="preserve"> </w:t>
      </w:r>
      <w:r>
        <w:t xml:space="preserve">1: 361–79.</w:t>
      </w:r>
    </w:p>
    <w:bookmarkEnd w:id="131"/>
    <w:bookmarkStart w:id="132" w:name="ref-kydlandprescott1982"/>
    <w:p>
      <w:pPr>
        <w:pStyle w:val="Bibliography"/>
      </w:pPr>
      <w:r>
        <w:t xml:space="preserve">Kydland, Finn E., and Edward C. Prescott. 1982.</w:t>
      </w:r>
      <w:r>
        <w:t xml:space="preserve"> </w:t>
      </w:r>
      <w:r>
        <w:t xml:space="preserve">“Time to Build and Aggregate Fluctuations.”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50 (6): 1345–70.</w:t>
      </w:r>
    </w:p>
    <w:bookmarkEnd w:id="132"/>
    <w:bookmarkStart w:id="133" w:name="ref-leducwilson2013"/>
    <w:p>
      <w:pPr>
        <w:pStyle w:val="Bibliography"/>
      </w:pPr>
      <w:r>
        <w:t xml:space="preserve">Leduc, Sylvain, and Daniel Wilson. 2013.</w:t>
      </w:r>
      <w:r>
        <w:t xml:space="preserve"> </w:t>
      </w:r>
      <w:r>
        <w:t xml:space="preserve">“Roads to Prosperity or Bridges to Nowhere? Theory and Evidence on the Impact of Public Infrastructure Investment.”</w:t>
      </w:r>
      <w:r>
        <w:t xml:space="preserve"> </w:t>
      </w:r>
      <w:r>
        <w:rPr>
          <w:i/>
          <w:iCs/>
        </w:rPr>
        <w:t xml:space="preserve">NBER Macroeconomics Annual</w:t>
      </w:r>
      <w:r>
        <w:t xml:space="preserve"> </w:t>
      </w:r>
      <w:r>
        <w:t xml:space="preserve">27 (1): 89–142.</w:t>
      </w:r>
    </w:p>
    <w:bookmarkEnd w:id="133"/>
    <w:bookmarkStart w:id="134" w:name="ref-leeper2010"/>
    <w:p>
      <w:pPr>
        <w:pStyle w:val="Bibliography"/>
      </w:pPr>
      <w:r>
        <w:t xml:space="preserve">Leeper, Eric M., Michael Plante, and Nora Traum. 2010.</w:t>
      </w:r>
      <w:r>
        <w:t xml:space="preserve"> </w:t>
      </w:r>
      <w:r>
        <w:t xml:space="preserve">“Dynamics of Fiscal Financing in the United States.”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156 (2): 304–21.</w:t>
      </w:r>
    </w:p>
    <w:bookmarkEnd w:id="134"/>
    <w:bookmarkStart w:id="135" w:name="ref-lucas1988"/>
    <w:p>
      <w:pPr>
        <w:pStyle w:val="Bibliography"/>
      </w:pPr>
      <w:r>
        <w:t xml:space="preserve">Lucas, Robert E. 1988.</w:t>
      </w:r>
      <w:r>
        <w:t xml:space="preserve"> </w:t>
      </w:r>
      <w:r>
        <w:t xml:space="preserve">“On the Mechanics of Economic Development.”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 </w:t>
      </w:r>
      <w:r>
        <w:t xml:space="preserve">22 (1): 3–42.</w:t>
      </w:r>
    </w:p>
    <w:bookmarkEnd w:id="135"/>
    <w:bookmarkStart w:id="136" w:name="ref-manuelliseshadri2014"/>
    <w:p>
      <w:pPr>
        <w:pStyle w:val="Bibliography"/>
      </w:pPr>
      <w:r>
        <w:t xml:space="preserve">Manuelli, Rodolfo E., and Ananth Seshadri. 2014.</w:t>
      </w:r>
      <w:r>
        <w:t xml:space="preserve"> </w:t>
      </w:r>
      <w:r>
        <w:t xml:space="preserve">“Human Capital and the Wealth of Nations.”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104 (9): 2736–62.</w:t>
      </w:r>
    </w:p>
    <w:bookmarkEnd w:id="136"/>
    <w:bookmarkStart w:id="137" w:name="ref-mincer1974"/>
    <w:p>
      <w:pPr>
        <w:pStyle w:val="Bibliography"/>
      </w:pPr>
      <w:r>
        <w:t xml:space="preserve">Mincer, Jacob. 1974.</w:t>
      </w:r>
      <w:r>
        <w:t xml:space="preserve"> </w:t>
      </w:r>
      <w:r>
        <w:rPr>
          <w:i/>
          <w:iCs/>
        </w:rPr>
        <w:t xml:space="preserve">Schooling, Experience, and Earnings</w:t>
      </w:r>
      <w:r>
        <w:t xml:space="preserve">. National Bureau of Economic Research.</w:t>
      </w:r>
    </w:p>
    <w:bookmarkEnd w:id="137"/>
    <w:bookmarkStart w:id="138" w:name="ref-nakamurasteinsson2014"/>
    <w:p>
      <w:pPr>
        <w:pStyle w:val="Bibliography"/>
      </w:pPr>
      <w:r>
        <w:t xml:space="preserve">Nakamura, Emi, and Jón Steinsson. 2014.</w:t>
      </w:r>
      <w:r>
        <w:t xml:space="preserve"> </w:t>
      </w:r>
      <w:r>
        <w:t xml:space="preserve">“Fiscal Stimulus in a Monetary Union: Evidence from US Regions.”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104 (3): 753–92.</w:t>
      </w:r>
    </w:p>
    <w:bookmarkEnd w:id="138"/>
    <w:bookmarkStart w:id="139" w:name="ref-pesaran2006"/>
    <w:p>
      <w:pPr>
        <w:pStyle w:val="Bibliography"/>
      </w:pPr>
      <w:r>
        <w:t xml:space="preserve">Pesaran, M. Hashem. 2006.</w:t>
      </w:r>
      <w:r>
        <w:t xml:space="preserve"> </w:t>
      </w:r>
      <w:r>
        <w:t xml:space="preserve">“Estimation and Inference in Large Heterogeneous Panels with a Multifactor Error Structure.”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74 (4): 967–1012.</w:t>
      </w:r>
    </w:p>
    <w:bookmarkEnd w:id="139"/>
    <w:bookmarkStart w:id="140" w:name="ref-rocha2017teto"/>
    <w:p>
      <w:pPr>
        <w:pStyle w:val="Bibliography"/>
      </w:pPr>
      <w:r>
        <w:t xml:space="preserve">Rocha, Fabiana et al.</w:t>
      </w:r>
      <w:r>
        <w:t xml:space="preserve"> 2017.</w:t>
      </w:r>
      <w:r>
        <w:t xml:space="preserve"> </w:t>
      </w:r>
      <w:r>
        <w:rPr>
          <w:i/>
          <w:iCs/>
        </w:rPr>
        <w:t xml:space="preserve">O Novo Regime Fiscal e Suas Implica</w:t>
      </w:r>
      <w:r>
        <w:rPr>
          <w:i/>
          <w:iCs/>
        </w:rPr>
        <w:t xml:space="preserve">ç</w:t>
      </w:r>
      <w:r>
        <w:rPr>
          <w:i/>
          <w:iCs/>
        </w:rPr>
        <w:t xml:space="preserve">õ</w:t>
      </w:r>
      <w:r>
        <w:rPr>
          <w:i/>
          <w:iCs/>
        </w:rPr>
        <w:t xml:space="preserve">es Para a Pol</w:t>
      </w:r>
      <w:r>
        <w:rPr>
          <w:i/>
          <w:iCs/>
        </w:rPr>
        <w:t xml:space="preserve">í</w:t>
      </w:r>
      <w:r>
        <w:rPr>
          <w:i/>
          <w:iCs/>
        </w:rPr>
        <w:t xml:space="preserve">tica de Educa</w:t>
      </w:r>
      <w:r>
        <w:rPr>
          <w:i/>
          <w:iCs/>
        </w:rPr>
        <w:t xml:space="preserve">ç</w:t>
      </w:r>
      <w:r>
        <w:rPr>
          <w:i/>
          <w:iCs/>
        </w:rPr>
        <w:t xml:space="preserve">ã</w:t>
      </w:r>
      <w:r>
        <w:rPr>
          <w:i/>
          <w:iCs/>
        </w:rPr>
        <w:t xml:space="preserve">o No Brasil</w:t>
      </w:r>
      <w:r>
        <w:t xml:space="preserve">. Estudos econ</w:t>
      </w:r>
      <w:r>
        <w:t xml:space="preserve">ô</w:t>
      </w:r>
      <w:r>
        <w:t xml:space="preserve">micos aplicados</w:t>
      </w:r>
      <w:r>
        <w:t xml:space="preserve"> </w:t>
      </w:r>
      <w:r>
        <w:t xml:space="preserve">à</w:t>
      </w:r>
      <w:r>
        <w:t xml:space="preserve"> </w:t>
      </w:r>
      <w:r>
        <w:t xml:space="preserve">Emenda Constitucional 95/2016.</w:t>
      </w:r>
    </w:p>
    <w:bookmarkEnd w:id="140"/>
    <w:bookmarkStart w:id="141" w:name="ref-schmittgrohe2004"/>
    <w:p>
      <w:pPr>
        <w:pStyle w:val="Bibliography"/>
      </w:pPr>
      <w:r>
        <w:t xml:space="preserve">Schmitt-Grohé, Stephanie, and Martín Uribe. 2004.</w:t>
      </w:r>
      <w:r>
        <w:t xml:space="preserve"> </w:t>
      </w:r>
      <w:r>
        <w:t xml:space="preserve">“Solving Dynamic General Equilibrium Models Using a Second-Order Approximation to the Policy Function.”</w:t>
      </w:r>
      <w:r>
        <w:t xml:space="preserve"> </w:t>
      </w:r>
      <w:r>
        <w:rPr>
          <w:i/>
          <w:iCs/>
        </w:rPr>
        <w:t xml:space="preserve">Journal of Economic Dynamics and Control</w:t>
      </w:r>
      <w:r>
        <w:t xml:space="preserve"> </w:t>
      </w:r>
      <w:r>
        <w:t xml:space="preserve">28 (4): 755–75.</w:t>
      </w:r>
    </w:p>
    <w:bookmarkEnd w:id="141"/>
    <w:bookmarkStart w:id="142" w:name="ref-smetswouters2007"/>
    <w:p>
      <w:pPr>
        <w:pStyle w:val="Bibliography"/>
      </w:pPr>
      <w:r>
        <w:t xml:space="preserve">Smets, Frank, and Rafael Wouters. 2007.</w:t>
      </w:r>
      <w:r>
        <w:t xml:space="preserve"> </w:t>
      </w:r>
      <w:r>
        <w:t xml:space="preserve">“Shocks and Frictions in US Business Cycles: A Bayesian DSGE Approach.”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97 (3): 586–606.</w:t>
      </w:r>
    </w:p>
    <w:bookmarkEnd w:id="142"/>
    <w:bookmarkStart w:id="143" w:name="ref-uzawa1965"/>
    <w:p>
      <w:pPr>
        <w:pStyle w:val="Bibliography"/>
      </w:pPr>
      <w:r>
        <w:t xml:space="preserve">Uzawa, Hirofumi. 1965.</w:t>
      </w:r>
      <w:r>
        <w:t xml:space="preserve"> </w:t>
      </w:r>
      <w:r>
        <w:t xml:space="preserve">“Optimum Technical Change in an Aggregative Model of Economic Growth.”</w:t>
      </w:r>
      <w:r>
        <w:t xml:space="preserve"> </w:t>
      </w:r>
      <w:r>
        <w:rPr>
          <w:i/>
          <w:iCs/>
        </w:rPr>
        <w:t xml:space="preserve">International Economic Review</w:t>
      </w:r>
      <w:r>
        <w:t xml:space="preserve"> </w:t>
      </w:r>
      <w:r>
        <w:t xml:space="preserve">6 (1): 18–31.</w:t>
      </w:r>
    </w:p>
    <w:bookmarkEnd w:id="143"/>
    <w:bookmarkStart w:id="144" w:name="ref-vereda2010"/>
    <w:p>
      <w:pPr>
        <w:pStyle w:val="Bibliography"/>
      </w:pPr>
      <w:r>
        <w:t xml:space="preserve">Vereda, Luciano, and Marco A. F. H. Cavalcanti. 2010.</w:t>
      </w:r>
      <w:r>
        <w:t xml:space="preserve"> </w:t>
      </w:r>
      <w:r>
        <w:rPr>
          <w:i/>
          <w:iCs/>
        </w:rPr>
        <w:t xml:space="preserve">Modelo Din</w:t>
      </w:r>
      <w:r>
        <w:rPr>
          <w:i/>
          <w:iCs/>
        </w:rPr>
        <w:t xml:space="preserve">â</w:t>
      </w:r>
      <w:r>
        <w:rPr>
          <w:i/>
          <w:iCs/>
        </w:rPr>
        <w:t xml:space="preserve">mico Estoc</w:t>
      </w:r>
      <w:r>
        <w:rPr>
          <w:i/>
          <w:iCs/>
        </w:rPr>
        <w:t xml:space="preserve">á</w:t>
      </w:r>
      <w:r>
        <w:rPr>
          <w:i/>
          <w:iCs/>
        </w:rPr>
        <w:t xml:space="preserve">stico de Equil</w:t>
      </w:r>
      <w:r>
        <w:rPr>
          <w:i/>
          <w:iCs/>
        </w:rPr>
        <w:t xml:space="preserve">í</w:t>
      </w:r>
      <w:r>
        <w:rPr>
          <w:i/>
          <w:iCs/>
        </w:rPr>
        <w:t xml:space="preserve">brio Geral (DSGE) Para a Economia Brasileira</w:t>
      </w:r>
      <w:r>
        <w:t xml:space="preserve">. No. 1479. IPEA – Texto para Discuss</w:t>
      </w:r>
      <w:r>
        <w:t xml:space="preserve">ã</w:t>
      </w:r>
      <w:r>
        <w:t xml:space="preserve">o.</w:t>
      </w:r>
    </w:p>
    <w:bookmarkEnd w:id="144"/>
    <w:bookmarkEnd w:id="145"/>
    <w:bookmarkEnd w:id="146"/>
    <w:sectPr>
      <w:footnotePr>
        <w:numRestart w:val="eachSect"/>
      </w:footnotePr>
      <w:pgSz w:h="16838" w:w="11906"/>
      <w:pgMar w:bottom="1134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Universidade Federal de Alagoas (UFAL) – Unidade Educacional de Penedo; Tribunal de Justiça do Estado de Alagoas. E-mail:</w:t>
      </w:r>
      <w:r>
        <w:t xml:space="preserve"> </w:t>
      </w:r>
      <w:r>
        <w:rPr>
          <w:rStyle w:val="VerbatimChar"/>
        </w:rPr>
        <w:t xml:space="preserve">valber.santos@penedo.ufal.br</w:t>
      </w:r>
      <w:r>
        <w:t xml:space="preserve">. Para submissão em avaliação às cegas, suprimir esta nota de rodapé.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Theme="majorEastAsia" w:hAnsi="Times New Roman" w:hAnsiTheme="majorHAnsi"/>
      <w:sz w:val="24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 w:before="0" w:line="240" w:lineRule="auto"/>
    </w:pPr>
    <w:rPr>
      <w:rFonts w:ascii="Times New Roman" w:cs="Times New Roman" w:cstheme="majorBidi" w:eastAsiaTheme="majorEastAsia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Theme="majorEastAsia" w:hAnsi="Times New Roman"/>
      <w:color w:themeColor="text1" w:themeTint="A6" w:val="595959"/>
      <w:spacing w:val="15"/>
      <w:sz w:val="24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0" w:line="240" w:lineRule="auto"/>
      <w:jc w:val="center"/>
    </w:pPr>
    <w:rPr>
      <w:rFonts w:ascii="Times New Roman" w:cs="Times New Roman" w:hAnsi="Times New Roman"/>
      <w:b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240" w:lineRule="auto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40" w:lineRule="auto"/>
      <w:outlineLvl w:val="0"/>
    </w:pPr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1"/>
    </w:pPr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2"/>
    </w:pPr>
    <w:rPr>
      <w:rFonts w:ascii="Times New Roman" w:cs="Times New Roman" w:cstheme="majorBidi" w:eastAsiaTheme="majorEastAsia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3"/>
    </w:pPr>
    <w:rPr>
      <w:rFonts w:ascii="Times New Roman" w:cs="Times New Roman" w:cstheme="majorBidi" w:eastAsiaTheme="majorEastAsia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4"/>
    </w:pPr>
    <w:rPr>
      <w:rFonts w:ascii="Times New Roman" w:cs="Times New Roman" w:cstheme="majorBidi" w:eastAsiaTheme="majorEastAsia" w:hAnsi="Times New Roman"/>
      <w:color w:themeColor="accent1" w:themeShade="BF" w:val="0F4761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5"/>
    </w:pPr>
    <w:rPr>
      <w:rFonts w:ascii="Times New Roman" w:cs="Times New Roman" w:cstheme="majorBidi" w:eastAsiaTheme="majorEastAsia" w:hAnsi="Times New Roman"/>
      <w:i/>
      <w:iCs/>
      <w:color w:themeColor="text1" w:themeTint="A6" w:val="595959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6"/>
    </w:pPr>
    <w:rPr>
      <w:rFonts w:ascii="Times New Roman" w:cs="Times New Roman" w:cstheme="majorBidi" w:eastAsiaTheme="majorEastAsia" w:hAnsi="Times New Roman"/>
      <w:color w:themeColor="text1" w:themeTint="A6" w:val="595959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7"/>
    </w:pPr>
    <w:rPr>
      <w:rFonts w:ascii="Times New Roman" w:cs="Times New Roman" w:cstheme="majorBidi" w:eastAsiaTheme="majorEastAsia" w:hAnsi="Times New Roman"/>
      <w:i/>
      <w:iCs/>
      <w:color w:themeColor="text1" w:themeTint="D8" w:val="272727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0" w:line="240" w:lineRule="auto"/>
      <w:outlineLvl w:val="8"/>
    </w:pPr>
    <w:rPr>
      <w:rFonts w:ascii="Times New Roman" w:cs="Times New Roman" w:cstheme="majorBidi" w:eastAsiaTheme="majorEastAsia" w:hAnsi="Times New Roman"/>
      <w:color w:themeColor="text1" w:themeTint="D8" w:val="272727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Theme="majorEastAsia" w:hAnsi="Times New Roman" w:hAnsiTheme="majorHAnsi"/>
      <w:color w:themeColor="accent1" w:themeShade="BF" w:val="0F4761"/>
      <w:sz w:val="24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Theme="majorEastAsia" w:hAnsi="Times New Roman"/>
      <w:color w:themeColor="accent1" w:themeShade="BF" w:val="0F4761"/>
      <w:sz w:val="2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accent1" w:themeShade="BF" w:val="0F4761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Theme="majorEastAsia" w:hAnsi="Times New Roman"/>
      <w:color w:themeColor="accent1" w:themeShade="BF" w:val="0F4761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text1" w:themeTint="A6" w:val="595959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Theme="majorEastAsia" w:hAnsi="Times New Roman"/>
      <w:color w:themeColor="text1" w:themeTint="A6" w:val="595959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Theme="majorEastAsia" w:hAnsi="Times New Roman"/>
      <w:i/>
      <w:iCs/>
      <w:color w:themeColor="text1" w:themeTint="D8" w:val="272727"/>
      <w:sz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Theme="majorEastAsia" w:hAnsi="Times New Roman"/>
      <w:color w:themeColor="text1" w:themeTint="D8" w:val="272727"/>
      <w:sz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0" w:line="240" w:lineRule="auto"/>
      <w:ind w:firstLine="0" w:left="480" w:right="480"/>
    </w:pPr>
    <w:rPr>
      <w:rFonts w:ascii="Times New Roman" w:cs="Times New Roman" w:hAnsi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cs="Times New Roman" w:hAnsi="Times New Roman"/>
      <w:sz w:val="24"/>
    </w:rPr>
  </w:style>
  <w:style w:default="1" w:styleId="Table" w:type="table">
    <w:name w:val="Table"/>
    <w:basedOn w:val="TableNormal"/>
    <w:semiHidden/>
    <w:unhideWhenUsed/>
    <w:qFormat/>
    <w:pPr>
      <w:spacing w:after="120" w:before="0" w:line="240" w:lineRule="auto"/>
    </w:pPr>
    <w:rPr>
      <w:rFonts w:ascii="Times New Roman" w:cs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240" w:lineRule="auto"/>
    </w:pPr>
    <w:rPr>
      <w:rFonts w:ascii="Times New Roman" w:cs="Times New Roman" w:hAnsi="Times New Roman"/>
      <w:b/>
      <w:sz w:val="24"/>
    </w:rPr>
  </w:style>
  <w:style w:customStyle="1" w:styleId="Definition" w:type="paragraph">
    <w:name w:val="Definition"/>
    <w:basedOn w:val="Normal"/>
    <w:pPr>
      <w:spacing w:after="120" w:before="0" w:line="240" w:lineRule="auto"/>
    </w:pPr>
    <w:rPr>
      <w:rFonts w:ascii="Times New Roman" w:cs="Times New Roman" w:hAnsi="Times New Roman"/>
      <w:sz w:val="24"/>
    </w:rPr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rFonts w:ascii="Times New Roman" w:cs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ImageCaption" w:type="paragraph">
    <w:name w:val="Image Caption"/>
    <w:basedOn w:val="Caption"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Figure" w:type="paragraph">
    <w:name w:val="Figure"/>
    <w:basedOn w:val="Normal"/>
    <w:pPr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  <w:spacing w:after="120" w:before="0" w:line="240" w:lineRule="auto"/>
    </w:pPr>
    <w:rPr>
      <w:rFonts w:ascii="Times New Roman" w:cs="Times New Roman" w:hAnsi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hAnsi="Times New Roman"/>
      <w:sz w:val="24"/>
    </w:rPr>
  </w:style>
  <w:style w:customStyle="1" w:styleId="VerbatimChar" w:type="character">
    <w:name w:val="Verbatim Char"/>
    <w:basedOn w:val="BodyTextChar"/>
    <w:rPr>
      <w:rFonts w:ascii="Times New Roman" w:cs="Times New Roman" w:hAnsi="Times New Roman"/>
      <w:sz w:val="24"/>
    </w:rPr>
  </w:style>
  <w:style w:customStyle="1" w:styleId="SectionNumber" w:type="character">
    <w:name w:val="Section Number"/>
    <w:basedOn w:val="BodyTextChar"/>
    <w:rPr>
      <w:rFonts w:ascii="Times New Roman" w:cs="Times New Roman" w:hAnsi="Times New Roman"/>
      <w:sz w:val="24"/>
    </w:rPr>
  </w:style>
  <w:style w:styleId="FootnoteReference" w:type="character">
    <w:name w:val="Footnote Reference"/>
    <w:basedOn w:val="BodyTextChar"/>
    <w:rPr>
      <w:rFonts w:ascii="Times New Roman" w:cs="Times New Roman" w:hAnsi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cs="Times New Roman" w:hAnsi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0" w:line="240" w:lineRule="auto"/>
      <w:outlineLvl w:val="9"/>
    </w:pPr>
    <w:rPr>
      <w:rFonts w:ascii="Times New Roman" w:asciiTheme="majorHAnsi" w:cs="Times New Roman" w:cstheme="majorBidi" w:eastAsiaTheme="majorEastAsia" w:hAnsi="Times New Roman" w:hAnsiTheme="majorHAnsi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93" Target="media/rId9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57" Target="media/rId57.png" /><Relationship Type="http://schemas.openxmlformats.org/officeDocument/2006/relationships/image" Id="rId82" Target="media/rId82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Gasto Público em Educação, Salários Regionais e Dinâmica Fiscal no Brasil: Evidências em Painel e um DSGE Fiscal com Capital Humano</dc:title>
  <dc:creator>Valber Gregory Barbosa Costa Bezerra Santos</dc:creator>
  <cp:keywords/>
  <dcterms:created xsi:type="dcterms:W3CDTF">2026-07-01T19:19:44Z</dcterms:created>
  <dcterms:modified xsi:type="dcterms:W3CDTF">2026-07-01T19:19:44Z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Avalia-se o impacto do gasto público em educação sobre salários médios estaduais e sobre a dinâmica fiscal no Brasil, combinando econometria de painel e um modelo dinâmico estocástico de equilíbrio geral (DSGE) fiscal com capital humano. No bloco empírico, estima-se um painel log-log das 27 unidades federativas (2010–2022) com efeitos fixos bidirecionais e erros-padrão robustos à dependência espacial e serial (Driscoll–Kraay), obtendo-se elasticidade salário-educação média de 0{,}17 (significativa a 1\%), com forte heterogeneidade regional: o efeito é maior no Norte e Nordeste (\approx 0{,}21) e próximo de zero no Sudeste. No bloco teórico, desenvolve-se um DSGE neoclássico com capital físico e humano, tributação distorciva e gasto público em educação como insumo produtivo na acumulação de capital humano, resolvido por previsão perfeita não linear com estado estacionário terminal endógeno. Simulam-se cortes permanentes de 1\%, 5\%, 10\% e 25\% e um cenário de teto de gasto (EC 95/2016). Os resultados são contundentes: um corte permanente de 10\% reduz o capital humano de longo prazo em 3{,}1\% e o produto em 3{,}4\%; corrói a própria base tributária, de modo que, em valor presente de 30 anos, 78\% da economia orçamentária é revertida pela perda de arrecadação (um efeito Laffer dinâmico da educação, com break-even no ano 33); e impõe perdas de bem-estar de até 2{,}4\% do consumo permanente. O multiplicador acumulado do gasto educacional sobre o produto supera a unidade (\approx 1{,}2). Articulando as funções impulso-resposta com as elasticidades regionais, projeta-se que o prejuízo salarial concentra-se no Norte e Nordeste, elevando o índice de Gini salarial entre estados em até 17{,}7\% e ampliando a razão salarial Sudeste/Nordeste. O resultado central é que a austeridade educacional reduz produto e base fiscal e aprofunda a desigualdade regional brasileira.Palavras-chave: gasto público em educação; capital humano; salários; DSGE fiscal; dados em painel; desigualdade regional; multiplicadores fiscais.</vt:lpwstr>
  </property>
  <property fmtid="{D5CDD505-2E9C-101B-9397-08002B2CF9AE}" pid="3" name="bibliography">
    <vt:lpwstr>referencias.bib</vt:lpwstr>
  </property>
  <property fmtid="{D5CDD505-2E9C-101B-9397-08002B2CF9AE}" pid="4" name="date">
    <vt:lpwstr>2026-07-01</vt:lpwstr>
  </property>
</Properties>
</file>