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32.png" ContentType="image/png"/>
  <Override PartName="/word/media/rId35.png" ContentType="image/png"/>
  <Override PartName="/word/media/rId16.png" ContentType="image/png"/>
  <Override PartName="/word/media/rId21.png" ContentType="image/png"/>
  <Override PartName="/word/media/rId3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Austeridade Educacional se Autofinancia?</w:t>
      </w:r>
      <w:r>
        <w:br/>
      </w:r>
      <w:r>
        <w:rPr>
          <w:b/>
          <w:bCs/>
        </w:rPr>
        <w:t xml:space="preserve">Efeito Laffer Dinâmico do Gasto Público em Educação</w:t>
      </w:r>
      <w:r>
        <w:br/>
      </w:r>
      <w:r>
        <w:rPr>
          <w:b/>
          <w:bCs/>
        </w:rPr>
        <w:t xml:space="preserve">num DSGE Fiscal com Capital Humano</w:t>
      </w:r>
    </w:p>
    <w:p>
      <w:pPr>
        <w:pStyle w:val="Author"/>
      </w:pPr>
      <w:r>
        <w:t xml:space="preserve">Valber Gregory Barbosa Costa Bezerra Santos</w:t>
      </w:r>
      <w:r>
        <w:rPr>
          <w:rStyle w:val="FootnoteReference"/>
        </w:rPr>
        <w:footnoteReference w:id="9"/>
      </w:r>
    </w:p>
    <w:p>
      <w:pPr>
        <w:pStyle w:val="Date"/>
      </w:pPr>
      <w:r>
        <w:t xml:space="preserve">2026-09-07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Cortes no gasto público em educação são usualmente avaliados pelo seu alívio orçamentário imediato. Este artigo mostra que essa contabilidade é ilusória. Desenvolve-se um modelo dinâmico estocástico de equilíbrio geral (DSGE) fiscal com capital físico e humano, tributação distorciva e gasto público em educação como insumo produtivo da acumulação de capital humano, resolvido por previsão perfeita não linear com estado estacionário terminal endógeno. Simulam-se cortes permanentes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e um cenário de teto de gasto (EC 95/2016). Um corte permanente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reduz o produto de longo prazo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e impõe perdas de bem-estar de até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 permanente (corte de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); o multiplicador acumulado do gasto educacional sobre o produto supera a unidade. O resultado central é um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: como a arrecadação segue o produto (</w:t>
      </w:r>
      <m:oMath>
        <m:r>
          <m:t>T</m:t>
        </m:r>
        <m:r>
          <m:rPr>
            <m:sty m:val="p"/>
          </m:rPr>
          <m:t>=</m:t>
        </m:r>
        <m:r>
          <m:t>τ</m:t>
        </m:r>
        <m:r>
          <m:t>Y</m:t>
        </m:r>
      </m:oMath>
      <w:r>
        <w:t xml:space="preserve">), o corte corrói a própria base tributária; em valor presente de 30 anos, até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da economia orçamentária é revertida, com</w:t>
      </w:r>
      <w:r>
        <w:t xml:space="preserve"> </w:t>
      </w:r>
      <w:r>
        <w:rPr>
          <w:i/>
          <w:iCs/>
        </w:rPr>
        <w:t xml:space="preserve">break-even</w:t>
      </w:r>
      <w:r>
        <w:t xml:space="preserve"> </w:t>
      </w:r>
      <w:r>
        <w:t xml:space="preserve">fiscal por volta do ano 33. A sensibilidade ao parâmetro-chave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(elasticidade do capital humano ao gasto) revela um</w:t>
      </w:r>
      <w:r>
        <w:t xml:space="preserve"> </w:t>
      </w:r>
      <w:r>
        <w:rPr>
          <w:i/>
          <w:iCs/>
        </w:rPr>
        <w:t xml:space="preserve">limiar de autofinanciamento</w:t>
      </w:r>
      <w:r>
        <w:t xml:space="preserve">: acima de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, o corte perde dinheiro até em valor presente. Conclui-se que a austeridade educacional é, em horizonte relevante, fiscalmente autodestrutiva.</w:t>
      </w:r>
    </w:p>
    <w:p>
      <w:pPr>
        <w:pStyle w:val="Abstrac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gasto público em educação; capital humano; DSGE fiscal; efeito Laffer; multiplicador fiscal; austeridade.</w:t>
      </w:r>
    </w:p>
    <w:p>
      <w:pPr>
        <w:pStyle w:val="FirstParagraph"/>
      </w:pPr>
      <w:r>
        <w:rPr>
          <w:b/>
          <w:bCs/>
        </w:rPr>
        <w:t xml:space="preserve">Área ANPEC:</w:t>
      </w:r>
      <w:r>
        <w:t xml:space="preserve"> </w:t>
      </w:r>
      <w:r>
        <w:t xml:space="preserve">5 – Economia do Setor Público (aderente à 4 – Macroeconomia).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E62; H52; I28; O41; H63; E32.</w:t>
      </w:r>
    </w:p>
    <w:p>
      <w:pPr>
        <w:pStyle w:val="BodyText"/>
      </w:pPr>
      <w:r>
        <w:rPr>
          <w:b/>
          <w:bCs/>
        </w:rPr>
        <w:t xml:space="preserve">Abstract.</w:t>
      </w:r>
      <w:r>
        <w:t xml:space="preserve"> </w:t>
      </w:r>
      <w:r>
        <w:t xml:space="preserve">Cuts to public education spending are usually judged by their immediate budget relief. This paper shows that accounting to be illusory. A fiscal DSGE with physical and human capital, distortionary taxation and public education spending as a productive input into human-capital accumulation is solved by nonlinear perfect foresight with an endogenous terminal steady state. A permanent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cut lowers long-run output by</w:t>
      </w:r>
      <w:r>
        <w:t xml:space="preserve"> </w:t>
      </w:r>
      <m:oMath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and imposes welfare losses up to</w:t>
      </w:r>
      <w:r>
        <w:t xml:space="preserve"> </w:t>
      </w:r>
      <m:oMath>
        <m:r>
          <m:t>2.4</m:t>
        </m:r>
        <m:r>
          <m:rPr>
            <m:sty m:val="p"/>
          </m:rPr>
          <m:t>%</m:t>
        </m:r>
      </m:oMath>
      <w:r>
        <w:t xml:space="preserve"> </w:t>
      </w:r>
      <w:r>
        <w:t xml:space="preserve">of permanent consumption; the cumulative output multiplier of education spending exceeds one. The central result is a</w:t>
      </w:r>
      <w:r>
        <w:t xml:space="preserve"> </w:t>
      </w:r>
      <w:r>
        <w:rPr>
          <w:i/>
          <w:iCs/>
        </w:rPr>
        <w:t xml:space="preserve">dynamic education Laffer effect</w:t>
      </w:r>
      <w:r>
        <w:t xml:space="preserve">: since revenue tracks output, the cut erodes its own tax base, undoing up to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budget saving in 30-year present value (fiscal break-even around year 33). Sensitivity to the key parameter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reveals a</w:t>
      </w:r>
      <w:r>
        <w:t xml:space="preserve"> </w:t>
      </w:r>
      <w:r>
        <w:rPr>
          <w:i/>
          <w:iCs/>
        </w:rPr>
        <w:t xml:space="preserve">self-financing threshold</w:t>
      </w:r>
      <w:r>
        <w:t xml:space="preserve">: above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0.45</m:t>
        </m:r>
      </m:oMath>
      <w:r>
        <w:t xml:space="preserve"> </w:t>
      </w:r>
      <w:r>
        <w:t xml:space="preserve">the cut loses money even in present value.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public education spending; human capital; fiscal DSGE; Laffer effect; fiscal multiplier.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E62; H52; I28; O41; H63; E32.</w:t>
      </w:r>
    </w:p>
    <w:bookmarkStart w:id="1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avaliação de políticas de contenção orçamentária costuma restringir-se ao seu custo fiscal imediato. No caso da educação, essa ótica é particularmente enganosa: o gasto educacional é um</w:t>
      </w:r>
      <w:r>
        <w:t xml:space="preserve"> </w:t>
      </w:r>
      <w:r>
        <w:rPr>
          <w:i/>
          <w:iCs/>
        </w:rPr>
        <w:t xml:space="preserve">investimento</w:t>
      </w:r>
      <w:r>
        <w:t xml:space="preserve"> </w:t>
      </w:r>
      <w:r>
        <w:t xml:space="preserve">produtivo, que constrói capital humano e, por essa via, produto, salários e – crucialmente – a própria base de arrecadação futura. Cortar educação economiza recursos hoje, mas reduz a arrecadação amanhã. A questão central deste artigo é direta:</w:t>
      </w:r>
      <w:r>
        <w:t xml:space="preserve"> </w:t>
      </w:r>
      <w:r>
        <w:rPr>
          <w:i/>
          <w:iCs/>
        </w:rPr>
        <w:t xml:space="preserve">um corte no gasto público em educação efetivamente economiza dinheiro público?</w:t>
      </w:r>
    </w:p>
    <w:p>
      <w:pPr>
        <w:pStyle w:val="BodyText"/>
      </w:pPr>
      <w:r>
        <w:t xml:space="preserve">O tema é premente no Brasil após o Novo Regime Fiscal (Emenda Constitucional n. 95/2016), que limitou o crescimento real do gasto primário e pressionou despesas discricionárias</w:t>
      </w:r>
      <w:r>
        <w:t xml:space="preserve"> </w:t>
      </w:r>
      <w:r>
        <w:t xml:space="preserve">(</w:t>
      </w:r>
      <w:r>
        <w:t xml:space="preserve">Rocha et al.</w:t>
      </w:r>
      <w:r>
        <w:t xml:space="preserve"> </w:t>
      </w:r>
      <w:r>
        <w:t xml:space="preserve">2017)</w:t>
      </w:r>
      <w:r>
        <w:t xml:space="preserve">, e diante de episódios recorrentes de bloqueio ou contenção de repasses a universidades e institutos federais. A contribuição é tríplice.</w:t>
      </w:r>
      <w:r>
        <w:t xml:space="preserve"> </w:t>
      </w:r>
      <w:r>
        <w:rPr>
          <w:i/>
          <w:iCs/>
        </w:rPr>
        <w:t xml:space="preserve">Primeiro</w:t>
      </w:r>
      <w:r>
        <w:t xml:space="preserve">, desenvolve-se um DSGE fiscal com capital humano financiado publicamente, na tradição de</w:t>
      </w:r>
      <w:r>
        <w:t xml:space="preserve"> </w:t>
      </w:r>
      <w:r>
        <w:t xml:space="preserve">Uzawa (1965)</w:t>
      </w:r>
      <w:r>
        <w:t xml:space="preserve">,</w:t>
      </w:r>
      <w:r>
        <w:t xml:space="preserve"> </w:t>
      </w:r>
      <w:r>
        <w:t xml:space="preserve">Lucas (1988)</w:t>
      </w:r>
      <w:r>
        <w:t xml:space="preserve">,</w:t>
      </w:r>
      <w:r>
        <w:t xml:space="preserve"> </w:t>
      </w:r>
      <w:r>
        <w:t xml:space="preserve">Glomm and Ravikumar (1992)</w:t>
      </w:r>
      <w:r>
        <w:t xml:space="preserve"> </w:t>
      </w:r>
      <w:r>
        <w:t xml:space="preserve">e</w:t>
      </w:r>
      <w:r>
        <w:t xml:space="preserve"> </w:t>
      </w:r>
      <w:r>
        <w:t xml:space="preserve">Barro (1990)</w:t>
      </w:r>
      <w:r>
        <w:t xml:space="preserve">, com o bloco fiscal de tributação distorciva da geração moderna</w:t>
      </w:r>
      <w:r>
        <w:t xml:space="preserve"> </w:t>
      </w:r>
      <w:r>
        <w:t xml:space="preserve">(Leeper et al. 2010; Drautzburg and Uhlig 2015)</w:t>
      </w:r>
      <w:r>
        <w:t xml:space="preserve">, resolvido por previsão perfeita não linear.</w:t>
      </w:r>
      <w:r>
        <w:t xml:space="preserve"> </w:t>
      </w:r>
      <w:r>
        <w:rPr>
          <w:i/>
          <w:iCs/>
        </w:rPr>
        <w:t xml:space="preserve">Segundo</w:t>
      </w:r>
      <w:r>
        <w:t xml:space="preserve">, quantifica-se o</w:t>
      </w:r>
      <w:r>
        <w:t xml:space="preserve"> </w:t>
      </w:r>
      <w:r>
        <w:rPr>
          <w:i/>
          <w:iCs/>
        </w:rPr>
        <w:t xml:space="preserve">custo fiscal líquido</w:t>
      </w:r>
      <w:r>
        <w:t xml:space="preserve"> </w:t>
      </w:r>
      <w:r>
        <w:t xml:space="preserve">em R$ de cortes de diferentes magnitudes, revelando um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: parcela substancial – e crescente no tempo – da</w:t>
      </w:r>
      <w:r>
        <w:t xml:space="preserve"> </w:t>
      </w:r>
      <w:r>
        <w:t xml:space="preserve">“economia”</w:t>
      </w:r>
      <w:r>
        <w:t xml:space="preserve"> </w:t>
      </w:r>
      <w:r>
        <w:t xml:space="preserve">é revertida pela menor arrecadação.</w:t>
      </w:r>
      <w:r>
        <w:t xml:space="preserve"> </w:t>
      </w:r>
      <w:r>
        <w:rPr>
          <w:i/>
          <w:iCs/>
        </w:rPr>
        <w:t xml:space="preserve">Terceiro</w:t>
      </w:r>
      <w:r>
        <w:t xml:space="preserve">, mede-se a sensibilidade desse efeito ao parâmetro estrutural que governa a produtividade do gasto (</w:t>
      </w:r>
      <m:oMath>
        <m:r>
          <m:t>ϕ</m:t>
        </m:r>
      </m:oMath>
      <w:r>
        <w:t xml:space="preserve">), identificando um</w:t>
      </w:r>
      <w:r>
        <w:t xml:space="preserve"> </w:t>
      </w:r>
      <w:r>
        <w:rPr>
          <w:i/>
          <w:iCs/>
        </w:rPr>
        <w:t xml:space="preserve">limiar de autofinanciamento</w:t>
      </w:r>
      <w:r>
        <w:t xml:space="preserve"> </w:t>
      </w:r>
      <w:r>
        <w:t xml:space="preserve">acima do qual o corte perde dinheiro até em valor presente.</w:t>
      </w:r>
    </w:p>
    <w:p>
      <w:pPr>
        <w:pStyle w:val="BodyText"/>
      </w:pPr>
      <w:r>
        <w:t xml:space="preserve">O principal achado é que a austeridade educacional é, em horizonte relevante, fiscalmente autodestrutiva: o corte de curto prazo é progressivamente – e, sob calibrações plausíveis, integralmente – anulado pela erosão da base tributária, além de impor perdas de produto e bem-estar.</w:t>
      </w:r>
    </w:p>
    <w:bookmarkEnd w:id="10"/>
    <w:bookmarkStart w:id="11" w:name="revisão-de-literatura"/>
    <w:p>
      <w:pPr>
        <w:pStyle w:val="Heading1"/>
      </w:pPr>
      <w:r>
        <w:t xml:space="preserve">Revisão de literatura</w:t>
      </w:r>
    </w:p>
    <w:p>
      <w:pPr>
        <w:pStyle w:val="FirstParagraph"/>
      </w:pPr>
      <w:r>
        <w:t xml:space="preserve">A modelagem DSGE evoluiu dos ciclos reais</w:t>
      </w:r>
      <w:r>
        <w:t xml:space="preserve"> </w:t>
      </w:r>
      <w:r>
        <w:t xml:space="preserve">(Kydland and Prescott 1982)</w:t>
      </w:r>
      <w:r>
        <w:t xml:space="preserve"> </w:t>
      </w:r>
      <w:r>
        <w:t xml:space="preserve">à versão novo-keynesiana estimada</w:t>
      </w:r>
      <w:r>
        <w:t xml:space="preserve"> </w:t>
      </w:r>
      <w:r>
        <w:t xml:space="preserve">(Smets and Wouters 2007)</w:t>
      </w:r>
      <w:r>
        <w:t xml:space="preserve">, com métodos sistematizados por</w:t>
      </w:r>
      <w:r>
        <w:t xml:space="preserve"> </w:t>
      </w:r>
      <w:r>
        <w:t xml:space="preserve">Schmitt-Grohé and Uribe (2004)</w:t>
      </w:r>
      <w:r>
        <w:t xml:space="preserve"> </w:t>
      </w:r>
      <w:r>
        <w:t xml:space="preserve">e</w:t>
      </w:r>
      <w:r>
        <w:t xml:space="preserve"> </w:t>
      </w:r>
      <w:r>
        <w:t xml:space="preserve">Fernández-Villaverde et al. (2016)</w:t>
      </w:r>
      <w:r>
        <w:t xml:space="preserve">. Blocos fiscais com tributação distorciva e regras de gasto são tratados por</w:t>
      </w:r>
      <w:r>
        <w:t xml:space="preserve"> </w:t>
      </w:r>
      <w:r>
        <w:t xml:space="preserve">Galí et al. (2007)</w:t>
      </w:r>
      <w:r>
        <w:t xml:space="preserve">,</w:t>
      </w:r>
      <w:r>
        <w:t xml:space="preserve"> </w:t>
      </w:r>
      <w:r>
        <w:t xml:space="preserve">Leeper et al. (2010)</w:t>
      </w:r>
      <w:r>
        <w:t xml:space="preserve"> </w:t>
      </w:r>
      <w:r>
        <w:t xml:space="preserve">e</w:t>
      </w:r>
      <w:r>
        <w:t xml:space="preserve"> </w:t>
      </w:r>
      <w:r>
        <w:t xml:space="preserve">Drautzburg and Uhlig (2015)</w:t>
      </w:r>
      <w:r>
        <w:t xml:space="preserve">, que mostram que a composição do gasto é determinante de primeira ordem dos multiplicadores. A literatura de capital público produtivo</w:t>
      </w:r>
      <w:r>
        <w:t xml:space="preserve"> </w:t>
      </w:r>
      <w:r>
        <w:t xml:space="preserve">(Aschauer 1989; Bom and Ligthart 2014; Leduc and Wilson 2013)</w:t>
      </w:r>
      <w:r>
        <w:t xml:space="preserve"> </w:t>
      </w:r>
      <w:r>
        <w:t xml:space="preserve">estima a elasticidade do produto ao capital público – base para calibrar o canal produtivo aqui empregado, agora aplicado à formação de capital humano. O papel do gasto público em educação sobre crescimento é formalizado por</w:t>
      </w:r>
      <w:r>
        <w:t xml:space="preserve"> </w:t>
      </w:r>
      <w:r>
        <w:t xml:space="preserve">Glomm and Ravikumar (1992)</w:t>
      </w:r>
      <w:r>
        <w:t xml:space="preserve"> </w:t>
      </w:r>
      <w:r>
        <w:t xml:space="preserve">e documentado por</w:t>
      </w:r>
      <w:r>
        <w:t xml:space="preserve"> </w:t>
      </w:r>
      <w:r>
        <w:t xml:space="preserve">Blankenau and Simpson (2004)</w:t>
      </w:r>
      <w:r>
        <w:t xml:space="preserve"> </w:t>
      </w:r>
      <w:r>
        <w:t xml:space="preserve">e</w:t>
      </w:r>
      <w:r>
        <w:t xml:space="preserve"> </w:t>
      </w:r>
      <w:r>
        <w:t xml:space="preserve">Blankenau et al. (2007)</w:t>
      </w:r>
      <w:r>
        <w:t xml:space="preserve">;</w:t>
      </w:r>
      <w:r>
        <w:t xml:space="preserve"> </w:t>
      </w:r>
      <w:r>
        <w:t xml:space="preserve">Manuelli and Seshadri (2014)</w:t>
      </w:r>
      <w:r>
        <w:t xml:space="preserve"> </w:t>
      </w:r>
      <w:r>
        <w:t xml:space="preserve">enfatizam o canal de qualidade do capital humano. A referência de calibração brasileira vem do SAMBA</w:t>
      </w:r>
      <w:r>
        <w:t xml:space="preserve"> </w:t>
      </w:r>
      <w:r>
        <w:t xml:space="preserve">(Castro et al. 2015)</w:t>
      </w:r>
      <w:r>
        <w:t xml:space="preserve"> </w:t>
      </w:r>
      <w:r>
        <w:t xml:space="preserve">e dos DSGE fiscais de</w:t>
      </w:r>
      <w:r>
        <w:t xml:space="preserve"> </w:t>
      </w:r>
      <w:r>
        <w:t xml:space="preserve">Vereda and Cavalcanti (2010)</w:t>
      </w:r>
      <w:r>
        <w:t xml:space="preserve"> </w:t>
      </w:r>
      <w:r>
        <w:t xml:space="preserve">e</w:t>
      </w:r>
      <w:r>
        <w:t xml:space="preserve"> </w:t>
      </w:r>
      <w:r>
        <w:t xml:space="preserve">Cavalcanti and Vereda (2015)</w:t>
      </w:r>
      <w:r>
        <w:t xml:space="preserve">. O modelo aqui proposto fecha a ponte entre os modelos de educação e crescimento e os DSGE fiscais, colocando o gasto educacional como insumo produtivo da acumulação de capital humano.</w:t>
      </w:r>
    </w:p>
    <w:bookmarkEnd w:id="11"/>
    <w:bookmarkStart w:id="15" w:name="sec:modelo"/>
    <w:p>
      <w:pPr>
        <w:pStyle w:val="Heading1"/>
      </w:pPr>
      <w:r>
        <w:t xml:space="preserve">O modelo</w:t>
      </w:r>
    </w:p>
    <w:bookmarkStart w:id="12" w:name="famílias-firmas-e-capital-humano"/>
    <w:p>
      <w:pPr>
        <w:pStyle w:val="Heading2"/>
      </w:pPr>
      <w:r>
        <w:t xml:space="preserve">Famílias, firmas e capital humano</w:t>
      </w:r>
    </w:p>
    <w:p>
      <w:pPr>
        <w:pStyle w:val="FirstParagraph"/>
      </w:pPr>
      <w:r>
        <w:t xml:space="preserve">Uma família representativa maximiza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0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β</m:t>
                </m:r>
              </m:e>
              <m:sup>
                <m:r>
                  <m:t>t</m:t>
                </m:r>
              </m:sup>
            </m:sSup>
          </m:e>
        </m:nary>
        <m:r>
          <m:rPr>
            <m:sty m:val="p"/>
          </m:rPr>
          <m:t>[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sujeita a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</m:sub>
        </m:sSub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gerando a equação de Euler e a oferta de trabalho: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t> 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t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f>
                <m:fPr>
                  <m:type m:val="lin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produção é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t</m:t>
            </m:r>
          </m:sub>
          <m:sup>
            <m:r>
              <m:t>α</m:t>
            </m:r>
          </m:sup>
        </m:sSubSup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, com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O ingrediente central é a lei de movimento do capital humano com retornos decrescentes ao gasto: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e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ϕ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ϕ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é a elasticidade de longo prazo do capital humano ao gasto público. O governo opera com orçamento equilibrado,</w:t>
      </w:r>
      <w:r>
        <w:t xml:space="preserve"> </w:t>
      </w:r>
      <m:oMath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</m:e>
          <m:sub>
            <m:r>
              <m:t>t</m:t>
            </m:r>
          </m:sub>
        </m:sSub>
      </m:oMath>
      <w:r>
        <w:t xml:space="preserve">, com arrecadação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, e a restrição de recursos é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. O mecanismo fiscal fundamental é que a arrecadação é proporcional ao produto: reduzir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deprime</w:t>
      </w:r>
      <w:r>
        <w:t xml:space="preserve"> </w:t>
      </w:r>
      <m:oMath>
        <m:r>
          <m:t>H</m:t>
        </m:r>
      </m:oMath>
      <w:r>
        <w:t xml:space="preserve">, logo</w:t>
      </w:r>
      <w:r>
        <w:t xml:space="preserve"> </w:t>
      </w:r>
      <m:oMath>
        <m:r>
          <m:t>Y</m:t>
        </m:r>
      </m:oMath>
      <w:r>
        <w:t xml:space="preserve">, logo</w:t>
      </w:r>
      <w:r>
        <w:t xml:space="preserve"> </w:t>
      </w:r>
      <m:oMath>
        <m:r>
          <m:t>T</m:t>
        </m:r>
      </m:oMath>
      <w:r>
        <w:t xml:space="preserve">.</w:t>
      </w:r>
    </w:p>
    <w:bookmarkEnd w:id="12"/>
    <w:bookmarkStart w:id="14" w:name="calibração-e-solução"/>
    <w:p>
      <w:pPr>
        <w:pStyle w:val="Heading2"/>
      </w:pPr>
      <w:r>
        <w:t xml:space="preserve">Calibração e solução</w:t>
      </w:r>
    </w:p>
    <w:p>
      <w:pPr>
        <w:pStyle w:val="FirstParagraph"/>
      </w:pPr>
      <w:r>
        <w:t xml:space="preserve">A calibração (Tabela </w:t>
      </w:r>
      <w:hyperlink w:anchor="tab:par">
        <w:r>
          <w:rPr>
            <w:rStyle w:val="Hyperlink"/>
          </w:rPr>
          <w:t xml:space="preserve">1</w:t>
        </w:r>
      </w:hyperlink>
      <w:r>
        <w:t xml:space="preserve">), anual, segue a literatura DSGE brasileira. O valor de referência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situa-se na faixa das estimativas de produtividade do gasto público produtivo</w:t>
      </w:r>
      <w:r>
        <w:t xml:space="preserve"> </w:t>
      </w:r>
      <w:r>
        <w:t xml:space="preserve">(Bom and Ligthart 2014)</w:t>
      </w:r>
      <w:r>
        <w:t xml:space="preserve">; a seção de sensibilidade explora todo o intervalo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]</m:t>
        </m:r>
      </m:oMath>
      <w:r>
        <w:t xml:space="preserve">. A carga tributária efetiva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reflete a razão carga/PIB. A transição é resolvida por previsão perfeita não linear (</w:t>
      </w:r>
      <w:r>
        <w:rPr>
          <w:i/>
          <w:iCs/>
        </w:rPr>
        <w:t xml:space="preserve">stacked-time</w:t>
      </w:r>
      <w:r>
        <w:t xml:space="preserve"> </w:t>
      </w:r>
      <w:r>
        <w:t xml:space="preserve">Newton) em 220 períodos, com</w:t>
      </w:r>
      <w:r>
        <w:t xml:space="preserve"> </w:t>
      </w:r>
      <w:r>
        <w:rPr>
          <w:i/>
          <w:iCs/>
        </w:rPr>
        <w:t xml:space="preserve">estado estacionário terminal endógeno</w:t>
      </w:r>
      <w:r>
        <w:t xml:space="preserve"> </w:t>
      </w:r>
      <w:r>
        <w:t xml:space="preserve">(solução fechada para o nível de gasto pós-choque, Apêndice </w:t>
      </w:r>
      <w:hyperlink w:anchor="ap:ss">
        <w:r>
          <w:rPr>
            <w:rStyle w:val="Hyperlink"/>
          </w:rPr>
          <w:t xml:space="preserve">9</w:t>
        </w:r>
      </w:hyperlink>
      <w:r>
        <w:t xml:space="preserve">), o que é essencial para cortes permanentes. A solução converge com resíduo da ordem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Start w:id="13" w:name="tab:par"/>
    <w:p>
      <w:pPr>
        <w:pStyle w:val="TableCaption"/>
      </w:pPr>
      <w:r>
        <w:t xml:space="preserve">Fonte: Elaboração própria; referência a</w:t>
      </w:r>
      <w:r>
        <w:t xml:space="preserve"> </w:t>
      </w:r>
      <w:r>
        <w:t xml:space="preserve">Castro et al. (2015)</w:t>
      </w:r>
      <w:r>
        <w:t xml:space="preserve"> </w:t>
      </w:r>
      <w:r>
        <w:t xml:space="preserve">e</w:t>
      </w:r>
      <w:r>
        <w:t xml:space="preserve"> </w:t>
      </w:r>
      <w:r>
        <w:t xml:space="preserve">Cavalcanti and Vereda (2015)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; referência a Castro et al. (2015) e Cavalcanti and Vereda (2015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do capital físico na produção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 de desconto intertemporal (anual)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Depreciação do capital físico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Depreciação do capital humano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tributária efetiva (% do PIB)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do lazer na utilidade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Elasticidade do capital humano ao gasto público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público em educação / PIB no EE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do choque fiscal (transitório)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 da tecnologia educacional (calibrada)</w:t>
            </w:r>
          </w:p>
        </w:tc>
      </w:tr>
    </w:tbl>
    <w:bookmarkEnd w:id="13"/>
    <w:bookmarkEnd w:id="14"/>
    <w:bookmarkEnd w:id="15"/>
    <w:bookmarkStart w:id="30" w:name="sec:res1"/>
    <w:p>
      <w:pPr>
        <w:pStyle w:val="Heading1"/>
      </w:pPr>
      <w:r>
        <w:t xml:space="preserve">Resultados I: a escala do prejuízo</w:t>
      </w:r>
    </w:p>
    <w:p>
      <w:pPr>
        <w:pStyle w:val="FirstParagraph"/>
      </w:pPr>
      <w:r>
        <w:t xml:space="preserve">A Figura </w:t>
      </w:r>
      <w:hyperlink w:anchor="fig:irf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apresenta as respostas a um corte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, transitório (AR(1)) e permanente; no permanente, o capital humano cai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(exatamente</w:t>
      </w:r>
      <w:r>
        <w:t xml:space="preserve"> </w:t>
      </w:r>
      <m:oMath>
        <m:r>
          <m:t>ϕ</m:t>
        </m:r>
        <m:r>
          <m:rPr>
            <m:sty m:val="p"/>
          </m:rPr>
          <m:t>%</m:t>
        </m:r>
      </m:oMath>
      <w:r>
        <w:t xml:space="preserve">) e o produto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%</m:t>
        </m:r>
      </m:oMath>
      <w:r>
        <w:t xml:space="preserve">, com o investimento liderando a queda inicial. A Tabela </w:t>
      </w:r>
      <w:hyperlink w:anchor="tab:irf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detalha as perdas acumuladas.</w:t>
      </w:r>
    </w:p>
    <w:bookmarkStart w:id="19" w:name="fig:irf"/>
    <w:p>
      <w:pPr>
        <w:pStyle w:val="CaptionedFigure"/>
      </w:pPr>
      <w:r>
        <w:drawing>
          <wp:inline>
            <wp:extent cx="5321935" cy="309639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ures/irf_corte_educaca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09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Simulação DSGE.</w:t>
      </w:r>
    </w:p>
    <w:bookmarkEnd w:id="19"/>
    <w:bookmarkStart w:id="20" w:name="tab:irf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Impacto (t=0)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acum. 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acum. 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Arrecadacao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</w:tr>
    </w:tbl>
    <w:bookmarkEnd w:id="20"/>
    <w:p>
      <w:pPr>
        <w:pStyle w:val="BodyText"/>
      </w:pPr>
      <w:r>
        <w:t xml:space="preserve">A Figura </w:t>
      </w:r>
      <w:hyperlink w:anchor="fig:multi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e a Tabela </w:t>
      </w:r>
      <w:hyperlink w:anchor="tab:ce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escalam o choque: as perdas de longo prazo crescem de forma quase proporcional – um corte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reduz o produto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e o capital humano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; um de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em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%</m:t>
        </m:r>
      </m:oMath>
      <w:r>
        <w:t xml:space="preserve">. O cenário de teto de gasto (EC 95), com compressão gradual de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em oito anos, produz deterioração mais lenta, porém permanente (Figura </w:t>
      </w:r>
      <w:hyperlink w:anchor="fig:traj">
        <w:r>
          <w:rPr>
            <w:rStyle w:val="Hyperlink"/>
          </w:rPr>
          <w:t xml:space="preserve">3</w:t>
        </w:r>
      </w:hyperlink>
      <w:r>
        <w:t xml:space="preserve">): a ausência de</w:t>
      </w:r>
      <w:r>
        <w:t xml:space="preserve"> </w:t>
      </w:r>
      <w:r>
        <w:t xml:space="preserve">“salto”</w:t>
      </w:r>
      <w:r>
        <w:t xml:space="preserve"> </w:t>
      </w:r>
      <w:r>
        <w:t xml:space="preserve">inicial mascara um dano estrutural que se acumula por décadas.</w:t>
      </w:r>
    </w:p>
    <w:bookmarkStart w:id="24" w:name="fig:multi"/>
    <w:p>
      <w:pPr>
        <w:pStyle w:val="CaptionedFigure"/>
      </w:pPr>
      <w:r>
        <w:drawing>
          <wp:inline>
            <wp:extent cx="6261100" cy="409817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irf_multi_cor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09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Simulação DSGE.</w:t>
      </w:r>
    </w:p>
    <w:bookmarkEnd w:id="24"/>
    <w:bookmarkStart w:id="25" w:name="tab:cen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Bem-estar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Mult. cum. 10a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 cons.)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</w:tr>
    </w:tbl>
    <w:bookmarkEnd w:id="25"/>
    <w:bookmarkStart w:id="29" w:name="fig:traj"/>
    <w:p>
      <w:pPr>
        <w:pStyle w:val="CaptionedFigure"/>
      </w:pPr>
      <w:r>
        <w:drawing>
          <wp:inline>
            <wp:extent cx="6261100" cy="409817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trajetoria_30ano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09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29"/>
    <w:bookmarkEnd w:id="30"/>
    <w:bookmarkStart w:id="45" w:name="sec:laffer"/>
    <w:p>
      <w:pPr>
        <w:pStyle w:val="Heading1"/>
      </w:pPr>
      <w:r>
        <w:t xml:space="preserve">Resultados II: o efeito Laffer dinâmico da educação</w:t>
      </w:r>
    </w:p>
    <w:p>
      <w:pPr>
        <w:pStyle w:val="FirstParagraph"/>
      </w:pPr>
      <w:r>
        <w:t xml:space="preserve">Ancorando o modelo em um PIB de R$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trilhões e um gasto público em educação de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do PIB, traduzem-se as perdas em reais. A Tabela </w:t>
      </w:r>
      <w:hyperlink w:anchor="tab:fisc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é o cerne do artigo. Para um corte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, a economia acumulada em valor presente de 10 anos é de R$</w:t>
      </w:r>
      <w:r>
        <w:t xml:space="preserve"> </w:t>
      </w:r>
      <m:oMath>
        <m:r>
          <m:t>457</m:t>
        </m:r>
      </m:oMath>
      <w:r>
        <w:t xml:space="preserve"> </w:t>
      </w:r>
      <w:r>
        <w:t xml:space="preserve">bilhões, mas a perda de arrecadação consome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desse valor; em 30 anos, a erosão chega a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. A Figura </w:t>
      </w:r>
      <w:hyperlink w:anchor="fig:fisc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mostra que, em fluxos não descontados, a perda acumulada de arrecadação</w:t>
      </w:r>
      <w:r>
        <w:t xml:space="preserve"> </w:t>
      </w:r>
      <w:r>
        <w:rPr>
          <w:i/>
          <w:iCs/>
        </w:rPr>
        <w:t xml:space="preserve">ultrapassa</w:t>
      </w:r>
      <w:r>
        <w:t xml:space="preserve"> </w:t>
      </w:r>
      <w:r>
        <w:t xml:space="preserve">a economia por volta do ano 33 (</w:t>
      </w:r>
      <w:r>
        <w:rPr>
          <w:i/>
          <w:iCs/>
        </w:rPr>
        <w:t xml:space="preserve">break-even</w:t>
      </w:r>
      <w:r>
        <w:t xml:space="preserve">): dali em diante, o corte é fiscalmente autodestrutivo.</w:t>
      </w:r>
    </w:p>
    <w:bookmarkStart w:id="31" w:name="tab:fisc"/>
    <w:p>
      <w:pPr>
        <w:pStyle w:val="TableCaption"/>
      </w:pPr>
      <w:r>
        <w:t xml:space="preserve">Fonte: Elaboração própria.</w:t>
      </w:r>
      <w:r>
        <w:t xml:space="preserve"> </w:t>
      </w:r>
      <w:r>
        <w:t xml:space="preserve">“% erodido”</w:t>
      </w:r>
      <w:r>
        <w:t xml:space="preserve"> </w:t>
      </w:r>
      <w:r>
        <w:t xml:space="preserve">= perda de arrecadação / economia orçamentária.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 “% erodido” = perda de arrecadação / economia orçamentária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Horizonte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Economia 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arrec. 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Líquido 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erodido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(anos)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81,0%</w:t>
            </w:r>
          </w:p>
        </w:tc>
      </w:tr>
    </w:tbl>
    <w:bookmarkEnd w:id="31"/>
    <w:bookmarkStart w:id="38" w:name="fig:fisc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179810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es/custo_fiscal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1798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184421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figures/custo_fiscal_barra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184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Elaboração própria.</w:t>
      </w:r>
    </w:p>
    <w:bookmarkEnd w:id="38"/>
    <w:bookmarkStart w:id="44" w:name="um-limiar-de-autofinanciamento"/>
    <w:p>
      <w:pPr>
        <w:pStyle w:val="Heading2"/>
      </w:pPr>
      <w:r>
        <w:t xml:space="preserve">Um limiar de autofinanciamento</w:t>
      </w:r>
    </w:p>
    <w:p>
      <w:pPr>
        <w:pStyle w:val="FirstParagraph"/>
      </w:pPr>
      <w:r>
        <w:t xml:space="preserve">Quão robusto é esse resultado à produtividade do gasto? A Figura </w:t>
      </w:r>
      <w:hyperlink w:anchor="fig:laff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 a Tabela </w:t>
      </w:r>
      <w:hyperlink w:anchor="tab:laffe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variam o parâmetro-chave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para um corte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. Quanto maior</w:t>
      </w:r>
      <w:r>
        <w:t xml:space="preserve"> </w:t>
      </w:r>
      <m:oMath>
        <m:r>
          <m:t>ϕ</m:t>
        </m:r>
      </m:oMath>
      <w:r>
        <w:t xml:space="preserve">, mais produtivo o gasto e maior a erosão fiscal: o percentual erodido em 30 anos sobe de</w:t>
      </w:r>
      <w:r>
        <w:t xml:space="preserve"> </w:t>
      </w:r>
      <m:oMath>
        <m:r>
          <m:t>54</m:t>
        </m:r>
        <m:r>
          <m:rPr>
            <m:sty m:val="p"/>
          </m:rPr>
          <m:t>%</m:t>
        </m:r>
      </m:oMath>
      <w:r>
        <w:t xml:space="preserve"> </w:t>
      </w:r>
      <w:r>
        <w:t xml:space="preserve">(para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) a mais de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(para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), e o ano de</w:t>
      </w:r>
      <w:r>
        <w:t xml:space="preserve"> </w:t>
      </w:r>
      <w:r>
        <w:rPr>
          <w:i/>
          <w:iCs/>
        </w:rPr>
        <w:t xml:space="preserve">break-even</w:t>
      </w:r>
      <w:r>
        <w:t xml:space="preserve"> </w:t>
      </w:r>
      <w:r>
        <w:t xml:space="preserve">cai de 95 para 23 anos. Existe, portanto, um</w:t>
      </w:r>
      <w:r>
        <w:t xml:space="preserve"> </w:t>
      </w:r>
      <w:r>
        <w:rPr>
          <w:i/>
          <w:iCs/>
        </w:rPr>
        <w:t xml:space="preserve">limiar de autofinanciamento</w:t>
      </w:r>
      <w:r>
        <w:t xml:space="preserve">: acima de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, o ganho fiscal líquido de 30 anos torna-se</w:t>
      </w:r>
      <w:r>
        <w:t xml:space="preserve"> </w:t>
      </w:r>
      <w:r>
        <w:rPr>
          <w:i/>
          <w:iCs/>
        </w:rPr>
        <w:t xml:space="preserve">negativo</w:t>
      </w:r>
      <w:r>
        <w:t xml:space="preserve"> </w:t>
      </w:r>
      <w:r>
        <w:t xml:space="preserve">– o corte perde dinheiro até em valor presente. Como as estimativas de produtividade do capital público frequentemente situam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na faixa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(Bom and Ligthart 2014)</w:t>
      </w:r>
      <w:r>
        <w:t xml:space="preserve">, o resultado qualitativo é forte: sob calibrações plausíveis, a maior parte da economia orçamentária é ilusória.</w:t>
      </w:r>
    </w:p>
    <w:bookmarkStart w:id="42" w:name="fig:laffer"/>
    <w:p>
      <w:pPr>
        <w:pStyle w:val="CaptionedFigure"/>
      </w:pPr>
      <w:r>
        <w:drawing>
          <wp:inline>
            <wp:extent cx="5134102" cy="29488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laffer_phi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102" cy="294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42"/>
    <w:bookmarkStart w:id="43" w:name="tab:laffer"/>
    <w:p>
      <w:pPr>
        <w:pStyle w:val="TableCaption"/>
      </w:pPr>
      <w:r>
        <w:t xml:space="preserve">Fonte: Elaboração própria. Valores negativos de</w:t>
      </w:r>
      <w:r>
        <w:t xml:space="preserve"> </w:t>
      </w:r>
      <w:r>
        <w:t xml:space="preserve">“Líquido”</w:t>
      </w:r>
      <w:r>
        <w:t xml:space="preserve"> </w:t>
      </w:r>
      <w:r>
        <w:t xml:space="preserve">indicam corte que perde dinheiro em VP.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 Valores negativos de “Líquido” indicam corte que perde dinheiro em VP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erodido 30a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Break-even (ano)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Líquido 30a (R$ bi)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-16,4</w:t>
            </w:r>
          </w:p>
        </w:tc>
      </w:tr>
    </w:tbl>
    <w:bookmarkEnd w:id="43"/>
    <w:bookmarkEnd w:id="44"/>
    <w:bookmarkEnd w:id="45"/>
    <w:bookmarkStart w:id="51" w:name="sec:bem"/>
    <w:p>
      <w:pPr>
        <w:pStyle w:val="Heading1"/>
      </w:pPr>
      <w:r>
        <w:t xml:space="preserve">Resultados III: bem-estar e multiplicadores</w:t>
      </w:r>
    </w:p>
    <w:p>
      <w:pPr>
        <w:pStyle w:val="FirstParagraph"/>
      </w:pPr>
      <w:r>
        <w:t xml:space="preserve">Além do custo fiscal, o corte impõe custo de bem-estar. A Tabela </w:t>
      </w:r>
      <w:hyperlink w:anchor="tab:ce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reporta a variação equivalente de consumo: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08</m:t>
        </m:r>
        <m:r>
          <m:rPr>
            <m:sty m:val="p"/>
          </m:rPr>
          <m:t>%</m:t>
        </m:r>
      </m:oMath>
      <w:r>
        <w:t xml:space="preserve"> </w:t>
      </w:r>
      <w:r>
        <w:t xml:space="preserve">(corte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 permanente (corte de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). O</w:t>
      </w:r>
      <w:r>
        <w:t xml:space="preserve"> </w:t>
      </w:r>
      <w:r>
        <w:rPr>
          <w:i/>
          <w:iCs/>
        </w:rPr>
        <w:t xml:space="preserve">multiplicador acumulado</w:t>
      </w:r>
      <w:r>
        <w:t xml:space="preserve"> </w:t>
      </w:r>
      <w:r>
        <w:t xml:space="preserve">do gasto educacional sobre o produto – razão entre valores presentes de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– supera a unidade e cresce no horizonte (Figura </w:t>
      </w:r>
      <w:hyperlink w:anchor="fig:bem">
        <w:r>
          <w:rPr>
            <w:rStyle w:val="Hyperlink"/>
          </w:rPr>
          <w:t xml:space="preserve">6</w:t>
        </w:r>
      </w:hyperlink>
      <w:r>
        <w:t xml:space="preserve">, dir.; Tabela </w:t>
      </w:r>
      <w:hyperlink w:anchor="tab:mult">
        <w:r>
          <w:rPr>
            <w:rStyle w:val="Hyperlink"/>
          </w:rPr>
          <w:t xml:space="preserve">6</w:t>
        </w:r>
      </w:hyperlink>
      <w:r>
        <w:t xml:space="preserve">), atingindo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em 10 anos: cada real cortado subtrai</w:t>
      </w:r>
      <w:r>
        <w:t xml:space="preserve"> </w:t>
      </w:r>
      <w:r>
        <w:rPr>
          <w:i/>
          <w:iCs/>
        </w:rPr>
        <w:t xml:space="preserve">mais de um real</w:t>
      </w:r>
      <w:r>
        <w:t xml:space="preserve"> </w:t>
      </w:r>
      <w:r>
        <w:t xml:space="preserve">de produto ao longo do tempo, porque o gasto é produtivo, não mera transferência.</w:t>
      </w:r>
    </w:p>
    <w:bookmarkStart w:id="49" w:name="fig:bem"/>
    <w:p>
      <w:pPr>
        <w:pStyle w:val="CaptionedFigure"/>
      </w:pPr>
      <w:r>
        <w:drawing>
          <wp:inline>
            <wp:extent cx="6261100" cy="250444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bemestar_multiplicado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49"/>
    <w:bookmarkStart w:id="50" w:name="tab:mult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5a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20a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30a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</w:tbl>
    <w:bookmarkEnd w:id="50"/>
    <w:bookmarkEnd w:id="51"/>
    <w:bookmarkStart w:id="52" w:name="robustez"/>
    <w:p>
      <w:pPr>
        <w:pStyle w:val="Heading1"/>
      </w:pPr>
      <w:r>
        <w:t xml:space="preserve">Robustez</w:t>
      </w:r>
    </w:p>
    <w:p>
      <w:pPr>
        <w:pStyle w:val="FirstParagraph"/>
      </w:pPr>
      <w:r>
        <w:t xml:space="preserve">O resultado qualitativo (perdas em todas as variáveis e erosão fiscal) é invariante à persistência do choque e à sua magnitude; a escala das perdas de longo prazo é governada por</w:t>
      </w:r>
      <w:r>
        <w:t xml:space="preserve"> </w:t>
      </w:r>
      <m:oMath>
        <m:r>
          <m:t>ϕ</m:t>
        </m:r>
      </m:oMath>
      <w:r>
        <w:t xml:space="preserve">, cuja sensibilidade foi mapeada na Seção </w:t>
      </w:r>
      <w:hyperlink w:anchor="sec:laffer">
        <w:r>
          <w:rPr>
            <w:rStyle w:val="Hyperlink"/>
          </w:rPr>
          <w:t xml:space="preserve">5</w:t>
        </w:r>
      </w:hyperlink>
      <w:r>
        <w:t xml:space="preserve">. A adoção de estado estacionário terminal endógeno corrige um viés de soluções que fixam o EE inicial. O estado estacionário satisfaz as razões macroeconômicas usuais (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ao ano;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23</m:t>
        </m:r>
      </m:oMath>
      <w:r>
        <w:t xml:space="preserve">). As limitações são a natureza calibrada e estilizada do modelo; uma versão estrutural estimaria parâmetros por métodos bayesianos</w:t>
      </w:r>
      <w:r>
        <w:t xml:space="preserve"> </w:t>
      </w:r>
      <w:r>
        <w:t xml:space="preserve">(Smets and Wouters 2007; Fernández-Villaverde et al. 2016)</w:t>
      </w:r>
      <w:r>
        <w:t xml:space="preserve"> </w:t>
      </w:r>
      <w:r>
        <w:t xml:space="preserve">e incorporaria rigidezes nominais e heterogeneidade de agentes.</w:t>
      </w:r>
    </w:p>
    <w:bookmarkEnd w:id="52"/>
    <w:bookmarkStart w:id="53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Este artigo mostrou, em um DSGE fiscal com capital humano, que cortes no gasto público em educação geram perdas persistentes de produto e bem-estar e, sobretudo,</w:t>
      </w:r>
      <w:r>
        <w:t xml:space="preserve"> </w:t>
      </w:r>
      <w:r>
        <w:rPr>
          <w:i/>
          <w:iCs/>
        </w:rPr>
        <w:t xml:space="preserve">corroem a própria base fiscal</w:t>
      </w:r>
      <w:r>
        <w:t xml:space="preserve">. A resposta à pergunta do título é negativa: a austeridade educacional não se autofinancia – ao contrário, em horizonte relevante torna-se autodestrutiva, com até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da economia orçamentária revertida em 30 anos e um limiar de parâmetro acima do qual o corte perde dinheiro até em valor presente. A mensagem de política é que regras fiscais que comprimem uniformemente a despesa educacional internalizam um custo fiscal futuro invisível à contabilidade de curto prazo. A agenda seguinte é a estimação estrutural do modelo e a incorporação de dívida pública e rigidezes.</w:t>
      </w:r>
    </w:p>
    <w:bookmarkEnd w:id="53"/>
    <w:bookmarkStart w:id="54" w:name="declaração-sobre-uso-de-ia-generativa"/>
    <w:p>
      <w:pPr>
        <w:pStyle w:val="Heading1"/>
      </w:pPr>
      <w:r>
        <w:t xml:space="preserve">Declaração sobre uso de IA generativa</w:t>
      </w:r>
    </w:p>
    <w:p>
      <w:pPr>
        <w:pStyle w:val="FirstParagraph"/>
      </w:pPr>
      <w:r>
        <w:t xml:space="preserve">Este documento foi organizado e redigido com auxílio de IA generativa a partir de código, modelos e instruções do autor; a concepção, a validação e a responsabilidade científica são integralmente do autor.</w:t>
      </w:r>
    </w:p>
    <w:bookmarkEnd w:id="54"/>
    <w:bookmarkStart w:id="56" w:name="disponibilidade-de-dados-e-código"/>
    <w:p>
      <w:pPr>
        <w:pStyle w:val="Heading1"/>
      </w:pPr>
      <w:r>
        <w:t xml:space="preserve">Disponibilidade de dados e código</w:t>
      </w:r>
    </w:p>
    <w:p>
      <w:pPr>
        <w:pStyle w:val="FirstParagraph"/>
      </w:pPr>
      <w:r>
        <w:t xml:space="preserve">Todo o material para reprodução – base de dados, código-fonte (Python e R), figuras e tabelas – está disponível publicamente no repositório do projeto:</w:t>
      </w:r>
      <w:r>
        <w:t xml:space="preserve"> </w:t>
      </w:r>
      <w:hyperlink r:id="rId55">
        <w:r>
          <w:rPr>
            <w:rStyle w:val="Hyperlink"/>
          </w:rPr>
          <w:t xml:space="preserve">https://github.com/valbergregory/artigo-dsge-educacao</w:t>
        </w:r>
      </w:hyperlink>
      <w:r>
        <w:t xml:space="preserve"> </w:t>
      </w:r>
      <w:r>
        <w:t xml:space="preserve">(versão arquivada com DOI no Zenodo:</w:t>
      </w:r>
      <w:r>
        <w:t xml:space="preserve"> </w:t>
      </w:r>
      <w:r>
        <w:rPr>
          <w:rStyle w:val="VerbatimChar"/>
        </w:rPr>
        <w:t xml:space="preserve">10.5281/zenodo.XXXXXXX</w:t>
      </w:r>
      <w:r>
        <w:t xml:space="preserve">). O repositório contém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(scripts</w:t>
      </w:r>
      <w:r>
        <w:t xml:space="preserve"> </w:t>
      </w:r>
      <w:r>
        <w:rPr>
          <w:rStyle w:val="VerbatimChar"/>
        </w:rPr>
        <w:t xml:space="preserve">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 </w:t>
      </w:r>
      <w:r>
        <w:t xml:space="preserve">em Python e portes</w:t>
      </w:r>
      <w:r>
        <w:t xml:space="preserve"> </w:t>
      </w:r>
      <w:r>
        <w:rPr>
          <w:rStyle w:val="VerbatimChar"/>
        </w:rPr>
        <w:t xml:space="preserve">03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em R para o RStudio),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t xml:space="preserve">(fontes LaTeX, figuras e tabelas) e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(pipeline completo). Os valores monetários são deflacionados pelo IPCA. Por padrão o código usa uma base calibrada realista; a coleta das séries oficiais (Banco Central/SGS para o IPCA; SIDRA/IBGE para PIB e rendimento; SICONFI/FINBRA para finanças estaduais; SIOP/Tesouro para o gasto federal em educação) é ativada com</w:t>
      </w:r>
      <w:r>
        <w:t xml:space="preserve"> </w:t>
      </w:r>
      <w:r>
        <w:rPr>
          <w:rStyle w:val="VerbatimChar"/>
        </w:rPr>
        <w:t xml:space="preserve">use_api = TRUE</w:t>
      </w:r>
      <w:r>
        <w:t xml:space="preserve">. Código sob licença MIT; texto sob CC-BY 4.0.</w:t>
      </w:r>
    </w:p>
    <w:bookmarkEnd w:id="56"/>
    <w:bookmarkStart w:id="79" w:name="ap:ss"/>
    <w:p>
      <w:pPr>
        <w:pStyle w:val="Heading1"/>
      </w:pPr>
      <w:r>
        <w:t xml:space="preserve">Estado estacionário terminal endógeno</w:t>
      </w:r>
    </w:p>
    <w:p>
      <w:pPr>
        <w:pStyle w:val="FirstParagraph"/>
      </w:pPr>
      <w:r>
        <w:t xml:space="preserve">No EE, a Euler implica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com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</m:oMath>
      <w:r>
        <w:t xml:space="preserve">. Para um nível fixo de gasto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, o EE tem solução fechada: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t>e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ϕ</m:t>
            </m:r>
          </m:sup>
        </m:sSup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t>h</m:t>
            </m:r>
          </m:sub>
        </m:sSub>
      </m:oMath>
      <w:r>
        <w:t xml:space="preserve">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t> </m:t>
        </m:r>
        <m:r>
          <m:t>H</m:t>
        </m:r>
        <m:r>
          <m:t> </m:t>
        </m:r>
        <m:r>
          <m:t>l</m:t>
        </m:r>
      </m:oMath>
      <w:r>
        <w:t xml:space="preserve"> </w:t>
      </w:r>
      <w:r>
        <w:t xml:space="preserve">com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)</m:t>
            </m:r>
          </m:sup>
        </m:sSup>
      </m:oMath>
      <w:r>
        <w:t xml:space="preserve">; e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B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θ</m:t>
              </m:r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t>B</m:t>
              </m:r>
              <m:r>
                <m:t> </m:t>
              </m:r>
              <m:r>
                <m:t>H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  <m:r>
                <m:t>K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 a calibração da Tabela </w:t>
      </w:r>
      <w:hyperlink w:anchor="tab:pa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e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s</m:t>
            </m:r>
            <m:r>
              <m:t>s</m:t>
            </m:r>
          </m:sub>
          <m:sup>
            <m:r>
              <m:t>e</m:t>
            </m:r>
          </m:sup>
        </m:sSubSup>
      </m:oMath>
      <w:r>
        <w:t xml:space="preserve">, recupera-se o EE base (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89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23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); um corte permanente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reduz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em</w:t>
      </w:r>
      <w:r>
        <w:t xml:space="preserve"> </w:t>
      </w:r>
      <m:oMath>
        <m:r>
          <m:t>ϕ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%</m:t>
        </m:r>
      </m:oMath>
      <w:r>
        <w:t xml:space="preserve">.</w:t>
      </w:r>
    </w:p>
    <w:bookmarkStart w:id="78" w:name="refs"/>
    <w:bookmarkStart w:id="57" w:name="ref-aschauer1989"/>
    <w:p>
      <w:pPr>
        <w:pStyle w:val="Bibliography"/>
      </w:pPr>
      <w:r>
        <w:t xml:space="preserve">Aschauer, David Alan. 1989.</w:t>
      </w:r>
      <w:r>
        <w:t xml:space="preserve"> </w:t>
      </w:r>
      <w:r>
        <w:t xml:space="preserve">“Is Public Expenditure Productive?”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23 (2): 177–200.</w:t>
      </w:r>
    </w:p>
    <w:bookmarkEnd w:id="57"/>
    <w:bookmarkStart w:id="58" w:name="ref-barro1990"/>
    <w:p>
      <w:pPr>
        <w:pStyle w:val="Bibliography"/>
      </w:pPr>
      <w:r>
        <w:t xml:space="preserve">Barro, Robert J. 1990.</w:t>
      </w:r>
      <w:r>
        <w:t xml:space="preserve"> </w:t>
      </w:r>
      <w:r>
        <w:t xml:space="preserve">“Government Spending in a Simple Model of Endogenous Growth.”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98 (5): S103–25.</w:t>
      </w:r>
    </w:p>
    <w:bookmarkEnd w:id="58"/>
    <w:bookmarkStart w:id="59" w:name="ref-blankenausimpson2004"/>
    <w:p>
      <w:pPr>
        <w:pStyle w:val="Bibliography"/>
      </w:pPr>
      <w:r>
        <w:t xml:space="preserve">Blankenau, William F., and Nicole B. Simpson. 2004.</w:t>
      </w:r>
      <w:r>
        <w:t xml:space="preserve"> </w:t>
      </w:r>
      <w:r>
        <w:t xml:space="preserve">“Public Education Expenditures and Growth.”</w:t>
      </w:r>
      <w:r>
        <w:t xml:space="preserve"> </w:t>
      </w:r>
      <w:r>
        <w:rPr>
          <w:i/>
          <w:iCs/>
        </w:rPr>
        <w:t xml:space="preserve">Journal of Development Economics</w:t>
      </w:r>
      <w:r>
        <w:t xml:space="preserve"> </w:t>
      </w:r>
      <w:r>
        <w:t xml:space="preserve">73 (2): 583–605.</w:t>
      </w:r>
    </w:p>
    <w:bookmarkEnd w:id="59"/>
    <w:bookmarkStart w:id="60" w:name="ref-blankenau2007"/>
    <w:p>
      <w:pPr>
        <w:pStyle w:val="Bibliography"/>
      </w:pPr>
      <w:r>
        <w:t xml:space="preserve">Blankenau, William F., Nicole B. Simpson, and Marc Tomljanovich. 2007.</w:t>
      </w:r>
      <w:r>
        <w:t xml:space="preserve"> </w:t>
      </w:r>
      <w:r>
        <w:t xml:space="preserve">“Public Education Expenditures, Taxation, and Growth: Linking Data to Theory.”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97 (2): 393–97.</w:t>
      </w:r>
    </w:p>
    <w:bookmarkEnd w:id="60"/>
    <w:bookmarkStart w:id="61" w:name="ref-bomligthart2014"/>
    <w:p>
      <w:pPr>
        <w:pStyle w:val="Bibliography"/>
      </w:pPr>
      <w:r>
        <w:t xml:space="preserve">Bom, Pedro R. D., and Jenny E. Ligthart. 2014.</w:t>
      </w:r>
      <w:r>
        <w:t xml:space="preserve"> </w:t>
      </w:r>
      <w:r>
        <w:t xml:space="preserve">“What Have We Learned from Three Decades of Research on the Productivity of Public Capital?”</w:t>
      </w:r>
      <w:r>
        <w:t xml:space="preserve"> </w:t>
      </w:r>
      <w:r>
        <w:rPr>
          <w:i/>
          <w:iCs/>
        </w:rPr>
        <w:t xml:space="preserve">Journal of Economic Surveys</w:t>
      </w:r>
      <w:r>
        <w:t xml:space="preserve"> </w:t>
      </w:r>
      <w:r>
        <w:t xml:space="preserve">28 (5): 889–916.</w:t>
      </w:r>
    </w:p>
    <w:bookmarkEnd w:id="61"/>
    <w:bookmarkStart w:id="62" w:name="ref-castro2015samba"/>
    <w:p>
      <w:pPr>
        <w:pStyle w:val="Bibliography"/>
      </w:pPr>
      <w:r>
        <w:t xml:space="preserve">Castro, Marcos R. de, Solange N. Gouvea, André Minella, Rafael Santos, and Nelson F. Souza-Sobrinho. 2015.</w:t>
      </w:r>
      <w:r>
        <w:t xml:space="preserve"> </w:t>
      </w:r>
      <w:r>
        <w:t xml:space="preserve">“SAMBA: Stochastic Analytical Model with a Bayesian Approach.”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103–70.</w:t>
      </w:r>
    </w:p>
    <w:bookmarkEnd w:id="62"/>
    <w:bookmarkStart w:id="63" w:name="ref-cavalcantivereda2015"/>
    <w:p>
      <w:pPr>
        <w:pStyle w:val="Bibliography"/>
      </w:pPr>
      <w:r>
        <w:t xml:space="preserve">Cavalcanti, Marco A. F. H., and Luciano Vereda. 2015.</w:t>
      </w:r>
      <w:r>
        <w:t xml:space="preserve"> </w:t>
      </w:r>
      <w:r>
        <w:t xml:space="preserve">“Fiscal Policy Multipliers in a DSGE Model for Brazil.”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197–232.</w:t>
      </w:r>
    </w:p>
    <w:bookmarkEnd w:id="63"/>
    <w:bookmarkStart w:id="64" w:name="ref-drautzburguhlig2015"/>
    <w:p>
      <w:pPr>
        <w:pStyle w:val="Bibliography"/>
      </w:pPr>
      <w:r>
        <w:t xml:space="preserve">Drautzburg, Thorsten, and Harald Uhlig. 2015.</w:t>
      </w:r>
      <w:r>
        <w:t xml:space="preserve"> </w:t>
      </w:r>
      <w:r>
        <w:t xml:space="preserve">“Fiscal Stimulus and Distortionary Taxation.”</w:t>
      </w:r>
      <w:r>
        <w:t xml:space="preserve"> </w:t>
      </w:r>
      <w:r>
        <w:rPr>
          <w:i/>
          <w:iCs/>
        </w:rPr>
        <w:t xml:space="preserve">Review of Economic Dynamics</w:t>
      </w:r>
      <w:r>
        <w:t xml:space="preserve"> </w:t>
      </w:r>
      <w:r>
        <w:t xml:space="preserve">18 (4): 894–920.</w:t>
      </w:r>
    </w:p>
    <w:bookmarkEnd w:id="64"/>
    <w:bookmarkStart w:id="65" w:name="ref-fvrr2016"/>
    <w:p>
      <w:pPr>
        <w:pStyle w:val="Bibliography"/>
      </w:pPr>
      <w:r>
        <w:t xml:space="preserve">Fernández-Villaverde, Jesús, Juan F. Rubio-Ramírez, and Frank Schorfheide. 2016.</w:t>
      </w:r>
      <w:r>
        <w:t xml:space="preserve"> </w:t>
      </w:r>
      <w:r>
        <w:t xml:space="preserve">“Solution and Estimation Methods for DSGE Models.”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Macroeconomics</w:t>
      </w:r>
      <w:r>
        <w:t xml:space="preserve">, vol. 2. Elsevier.</w:t>
      </w:r>
    </w:p>
    <w:bookmarkEnd w:id="65"/>
    <w:bookmarkStart w:id="66" w:name="ref-galilv2007"/>
    <w:p>
      <w:pPr>
        <w:pStyle w:val="Bibliography"/>
      </w:pPr>
      <w:r>
        <w:t xml:space="preserve">Galí, Jordi, J. David López-Salido, and Javier Vallés. 2007.</w:t>
      </w:r>
      <w:r>
        <w:t xml:space="preserve"> </w:t>
      </w:r>
      <w:r>
        <w:t xml:space="preserve">“Understanding the Effects of Government Spending on Consumption.”</w:t>
      </w:r>
      <w:r>
        <w:t xml:space="preserve"> </w:t>
      </w:r>
      <w:r>
        <w:rPr>
          <w:i/>
          <w:iCs/>
        </w:rPr>
        <w:t xml:space="preserve">Journal of the European Economic Association</w:t>
      </w:r>
      <w:r>
        <w:t xml:space="preserve"> </w:t>
      </w:r>
      <w:r>
        <w:t xml:space="preserve">5 (1): 227–70.</w:t>
      </w:r>
    </w:p>
    <w:bookmarkEnd w:id="66"/>
    <w:bookmarkStart w:id="67" w:name="ref-glommravikumar1992"/>
    <w:p>
      <w:pPr>
        <w:pStyle w:val="Bibliography"/>
      </w:pPr>
      <w:r>
        <w:t xml:space="preserve">Glomm, Gerhard, and B. Ravikumar. 1992.</w:t>
      </w:r>
      <w:r>
        <w:t xml:space="preserve"> </w:t>
      </w:r>
      <w:r>
        <w:t xml:space="preserve">“Public Versus Private Investment in Human Capital: Endogenous Growth and Income Inequality.”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100 (4): 818–34.</w:t>
      </w:r>
    </w:p>
    <w:bookmarkEnd w:id="67"/>
    <w:bookmarkStart w:id="68" w:name="ref-kydlandprescott1982"/>
    <w:p>
      <w:pPr>
        <w:pStyle w:val="Bibliography"/>
      </w:pPr>
      <w:r>
        <w:t xml:space="preserve">Kydland, Finn E., and Edward C. Prescott. 1982.</w:t>
      </w:r>
      <w:r>
        <w:t xml:space="preserve"> </w:t>
      </w:r>
      <w:r>
        <w:t xml:space="preserve">“Time to Build and Aggregate Fluctuations.”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50 (6): 1345–70.</w:t>
      </w:r>
    </w:p>
    <w:bookmarkEnd w:id="68"/>
    <w:bookmarkStart w:id="69" w:name="ref-leducwilson2013"/>
    <w:p>
      <w:pPr>
        <w:pStyle w:val="Bibliography"/>
      </w:pPr>
      <w:r>
        <w:t xml:space="preserve">Leduc, Sylvain, and Daniel Wilson. 2013.</w:t>
      </w:r>
      <w:r>
        <w:t xml:space="preserve"> </w:t>
      </w:r>
      <w:r>
        <w:t xml:space="preserve">“Roads to Prosperity or Bridges to Nowhere? Theory and Evidence on the Impact of Public Infrastructure Investment.”</w:t>
      </w:r>
      <w:r>
        <w:t xml:space="preserve"> </w:t>
      </w:r>
      <w:r>
        <w:rPr>
          <w:i/>
          <w:iCs/>
        </w:rPr>
        <w:t xml:space="preserve">NBER Macroeconomics Annual</w:t>
      </w:r>
      <w:r>
        <w:t xml:space="preserve"> </w:t>
      </w:r>
      <w:r>
        <w:t xml:space="preserve">27 (1): 89–142.</w:t>
      </w:r>
    </w:p>
    <w:bookmarkEnd w:id="69"/>
    <w:bookmarkStart w:id="70" w:name="ref-leeper2010"/>
    <w:p>
      <w:pPr>
        <w:pStyle w:val="Bibliography"/>
      </w:pPr>
      <w:r>
        <w:t xml:space="preserve">Leeper, Eric M., Michael Plante, and Nora Traum. 2010.</w:t>
      </w:r>
      <w:r>
        <w:t xml:space="preserve"> </w:t>
      </w:r>
      <w:r>
        <w:t xml:space="preserve">“Dynamics of Fiscal Financing in the United States.”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156 (2): 304–21.</w:t>
      </w:r>
    </w:p>
    <w:bookmarkEnd w:id="70"/>
    <w:bookmarkStart w:id="71" w:name="ref-lucas1988"/>
    <w:p>
      <w:pPr>
        <w:pStyle w:val="Bibliography"/>
      </w:pPr>
      <w:r>
        <w:t xml:space="preserve">Lucas, Robert E. 1988.</w:t>
      </w:r>
      <w:r>
        <w:t xml:space="preserve"> </w:t>
      </w:r>
      <w:r>
        <w:t xml:space="preserve">“On the Mechanics of Economic Development.”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22 (1): 3–42.</w:t>
      </w:r>
    </w:p>
    <w:bookmarkEnd w:id="71"/>
    <w:bookmarkStart w:id="72" w:name="ref-manuelliseshadri2014"/>
    <w:p>
      <w:pPr>
        <w:pStyle w:val="Bibliography"/>
      </w:pPr>
      <w:r>
        <w:t xml:space="preserve">Manuelli, Rodolfo E., and Ananth Seshadri. 2014.</w:t>
      </w:r>
      <w:r>
        <w:t xml:space="preserve"> </w:t>
      </w:r>
      <w:r>
        <w:t xml:space="preserve">“Human Capital and the Wealth of Nations.”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104 (9): 2736–62.</w:t>
      </w:r>
    </w:p>
    <w:bookmarkEnd w:id="72"/>
    <w:bookmarkStart w:id="73" w:name="ref-rocha2017teto"/>
    <w:p>
      <w:pPr>
        <w:pStyle w:val="Bibliography"/>
      </w:pPr>
      <w:r>
        <w:t xml:space="preserve">Rocha, Fabiana et al.</w:t>
      </w:r>
      <w:r>
        <w:t xml:space="preserve"> 2017.</w:t>
      </w:r>
      <w:r>
        <w:t xml:space="preserve"> </w:t>
      </w:r>
      <w:r>
        <w:rPr>
          <w:i/>
          <w:iCs/>
        </w:rPr>
        <w:t xml:space="preserve">O Novo Regime Fiscal e Suas Implica</w:t>
      </w:r>
      <w:r>
        <w:rPr>
          <w:i/>
          <w:iCs/>
        </w:rPr>
        <w:t xml:space="preserve">ç</w:t>
      </w:r>
      <w:r>
        <w:rPr>
          <w:i/>
          <w:iCs/>
        </w:rPr>
        <w:t xml:space="preserve">õ</w:t>
      </w:r>
      <w:r>
        <w:rPr>
          <w:i/>
          <w:iCs/>
        </w:rPr>
        <w:t xml:space="preserve">es Para a Pol</w:t>
      </w:r>
      <w:r>
        <w:rPr>
          <w:i/>
          <w:iCs/>
        </w:rPr>
        <w:t xml:space="preserve">í</w:t>
      </w:r>
      <w:r>
        <w:rPr>
          <w:i/>
          <w:iCs/>
        </w:rPr>
        <w:t xml:space="preserve">tica de Educa</w:t>
      </w:r>
      <w:r>
        <w:rPr>
          <w:i/>
          <w:iCs/>
        </w:rPr>
        <w:t xml:space="preserve">ç</w:t>
      </w:r>
      <w:r>
        <w:rPr>
          <w:i/>
          <w:iCs/>
        </w:rPr>
        <w:t xml:space="preserve">ã</w:t>
      </w:r>
      <w:r>
        <w:rPr>
          <w:i/>
          <w:iCs/>
        </w:rPr>
        <w:t xml:space="preserve">o No Brasil</w:t>
      </w:r>
      <w:r>
        <w:t xml:space="preserve">. Estudos econ</w:t>
      </w:r>
      <w:r>
        <w:t xml:space="preserve">ô</w:t>
      </w:r>
      <w:r>
        <w:t xml:space="preserve">micos aplicados</w:t>
      </w:r>
      <w:r>
        <w:t xml:space="preserve"> </w:t>
      </w:r>
      <w:r>
        <w:t xml:space="preserve">à</w:t>
      </w:r>
      <w:r>
        <w:t xml:space="preserve"> </w:t>
      </w:r>
      <w:r>
        <w:t xml:space="preserve">Emenda Constitucional 95/2016.</w:t>
      </w:r>
    </w:p>
    <w:bookmarkEnd w:id="73"/>
    <w:bookmarkStart w:id="74" w:name="ref-schmittgrohe2004"/>
    <w:p>
      <w:pPr>
        <w:pStyle w:val="Bibliography"/>
      </w:pPr>
      <w:r>
        <w:t xml:space="preserve">Schmitt-Grohé, Stephanie, and Martín Uribe. 2004.</w:t>
      </w:r>
      <w:r>
        <w:t xml:space="preserve"> </w:t>
      </w:r>
      <w:r>
        <w:t xml:space="preserve">“Solving Dynamic General Equilibrium Models Using a Second-Order Approximation to the Policy Function.”</w:t>
      </w:r>
      <w:r>
        <w:t xml:space="preserve"> </w:t>
      </w:r>
      <w:r>
        <w:rPr>
          <w:i/>
          <w:iCs/>
        </w:rPr>
        <w:t xml:space="preserve">Journal of Economic Dynamics and Control</w:t>
      </w:r>
      <w:r>
        <w:t xml:space="preserve"> </w:t>
      </w:r>
      <w:r>
        <w:t xml:space="preserve">28 (4): 755–75.</w:t>
      </w:r>
    </w:p>
    <w:bookmarkEnd w:id="74"/>
    <w:bookmarkStart w:id="75" w:name="ref-smetswouters2007"/>
    <w:p>
      <w:pPr>
        <w:pStyle w:val="Bibliography"/>
      </w:pPr>
      <w:r>
        <w:t xml:space="preserve">Smets, Frank, and Rafael Wouters. 2007.</w:t>
      </w:r>
      <w:r>
        <w:t xml:space="preserve"> </w:t>
      </w:r>
      <w:r>
        <w:t xml:space="preserve">“Shocks and Frictions in US Business Cycles: A Bayesian DSGE Approach.”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97 (3): 586–606.</w:t>
      </w:r>
    </w:p>
    <w:bookmarkEnd w:id="75"/>
    <w:bookmarkStart w:id="76" w:name="ref-uzawa1965"/>
    <w:p>
      <w:pPr>
        <w:pStyle w:val="Bibliography"/>
      </w:pPr>
      <w:r>
        <w:t xml:space="preserve">Uzawa, Hirofumi. 1965.</w:t>
      </w:r>
      <w:r>
        <w:t xml:space="preserve"> </w:t>
      </w:r>
      <w:r>
        <w:t xml:space="preserve">“Optimum Technical Change in an Aggregative Model of Economic Growth.”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 </w:t>
      </w:r>
      <w:r>
        <w:t xml:space="preserve">6 (1): 18–31.</w:t>
      </w:r>
    </w:p>
    <w:bookmarkEnd w:id="76"/>
    <w:bookmarkStart w:id="77" w:name="ref-vereda2010"/>
    <w:p>
      <w:pPr>
        <w:pStyle w:val="Bibliography"/>
      </w:pPr>
      <w:r>
        <w:t xml:space="preserve">Vereda, Luciano, and Marco A. F. H. Cavalcanti. 2010.</w:t>
      </w:r>
      <w:r>
        <w:t xml:space="preserve"> </w:t>
      </w:r>
      <w:r>
        <w:rPr>
          <w:i/>
          <w:iCs/>
        </w:rPr>
        <w:t xml:space="preserve">Modelo Din</w:t>
      </w:r>
      <w:r>
        <w:rPr>
          <w:i/>
          <w:iCs/>
        </w:rPr>
        <w:t xml:space="preserve">â</w:t>
      </w:r>
      <w:r>
        <w:rPr>
          <w:i/>
          <w:iCs/>
        </w:rPr>
        <w:t xml:space="preserve">mico Estoc</w:t>
      </w:r>
      <w:r>
        <w:rPr>
          <w:i/>
          <w:iCs/>
        </w:rPr>
        <w:t xml:space="preserve">á</w:t>
      </w:r>
      <w:r>
        <w:rPr>
          <w:i/>
          <w:iCs/>
        </w:rPr>
        <w:t xml:space="preserve">stico de Equil</w:t>
      </w:r>
      <w:r>
        <w:rPr>
          <w:i/>
          <w:iCs/>
        </w:rPr>
        <w:t xml:space="preserve">í</w:t>
      </w:r>
      <w:r>
        <w:rPr>
          <w:i/>
          <w:iCs/>
        </w:rPr>
        <w:t xml:space="preserve">brio Geral (DSGE) Para a Economia Brasileira</w:t>
      </w:r>
      <w:r>
        <w:t xml:space="preserve">. No. 1479. IPEA – Texto para Discuss</w:t>
      </w:r>
      <w:r>
        <w:t xml:space="preserve">ã</w:t>
      </w:r>
      <w:r>
        <w:t xml:space="preserve">o.</w:t>
      </w:r>
    </w:p>
    <w:bookmarkEnd w:id="77"/>
    <w:bookmarkEnd w:id="78"/>
    <w:bookmarkEnd w:id="79"/>
    <w:sectPr>
      <w:footnotePr>
        <w:numRestart w:val="eachSect"/>
      </w:footnotePr>
      <w:pgSz w:h="16838" w:w="11906"/>
      <w:pgMar w:bottom="1134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Universidade Federal de Alagoas (UFAL) – Unidade Educacional de Penedo; Tribunal de Justiça do Estado de Alagoas. E-mail:</w:t>
      </w:r>
      <w:r>
        <w:t xml:space="preserve"> </w:t>
      </w:r>
      <w:r>
        <w:rPr>
          <w:rStyle w:val="VerbatimChar"/>
        </w:rPr>
        <w:t xml:space="preserve">valber.santos@penedo.ufal.br</w:t>
      </w:r>
      <w:r>
        <w:t xml:space="preserve">. Para avaliação às cegas, suprimir esta nota.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</w:pPr>
    <w:rPr>
      <w:rFonts w:ascii="Times New Roman" w:cs="Times New Roman" w:cstheme="majorBidi" w:eastAsiaTheme="majorEastAsia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Theme="majorEastAsia" w:hAnsi="Times New Roman"/>
      <w:color w:themeColor="text1" w:themeTint="A6" w:val="595959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0" w:line="240" w:lineRule="auto"/>
      <w:jc w:val="center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1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2"/>
    </w:pPr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3"/>
    </w:pPr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4"/>
    </w:pPr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5"/>
    </w:pPr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6"/>
    </w:pPr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7"/>
    </w:pPr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8"/>
    </w:pPr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cs="Times New Roman" w:hAnsi="Times New Roman"/>
      <w:sz w:val="24"/>
    </w:rPr>
  </w:style>
  <w:style w:default="1" w:styleId="Table" w:type="table">
    <w:name w:val="Table"/>
    <w:basedOn w:val="TableNormal"/>
    <w:semiHidden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240" w:lineRule="auto"/>
    </w:pPr>
    <w:rPr>
      <w:rFonts w:ascii="Times New Roman" w:cs="Times New Roman" w:hAnsi="Times New Roman"/>
      <w:b/>
      <w:sz w:val="24"/>
    </w:rPr>
  </w:style>
  <w:style w:customStyle="1" w:styleId="Definition" w:type="paragraph">
    <w:name w:val="Definition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rFonts w:ascii="Times New Roman" w:cs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ImageCaption" w:type="paragraph">
    <w:name w:val="Image Caption"/>
    <w:basedOn w:val="Caption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gure" w:type="paragraph">
    <w:name w:val="Figure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hAnsi="Times New Roman"/>
      <w:sz w:val="24"/>
    </w:rPr>
  </w:style>
  <w:style w:customStyle="1" w:styleId="VerbatimChar" w:type="character">
    <w:name w:val="Verbatim Char"/>
    <w:basedOn w:val="BodyTextChar"/>
    <w:rPr>
      <w:rFonts w:ascii="Times New Roman" w:cs="Times New Roman" w:hAnsi="Times New Roman"/>
      <w:sz w:val="24"/>
    </w:rPr>
  </w:style>
  <w:style w:customStyle="1" w:styleId="SectionNumber" w:type="character">
    <w:name w:val="Section Number"/>
    <w:basedOn w:val="BodyTextChar"/>
    <w:rPr>
      <w:rFonts w:ascii="Times New Roman" w:cs="Times New Roman" w:hAnsi="Times New Roman"/>
      <w:sz w:val="24"/>
    </w:rPr>
  </w:style>
  <w:style w:styleId="FootnoteReference" w:type="character">
    <w:name w:val="Footnote Reference"/>
    <w:basedOn w:val="BodyTextChar"/>
    <w:rPr>
      <w:rFonts w:ascii="Times New Roman" w:cs="Times New Roman" w:hAnsi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cs="Times New Roman" w:hAnsi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0" w:line="240" w:lineRule="auto"/>
      <w:outlineLvl w:val="9"/>
    </w:pPr>
    <w:rPr>
      <w:rFonts w:ascii="Times New Roman" w:asciiTheme="majorHAnsi" w:cs="Times New Roman" w:cstheme="majorBidi" w:eastAsiaTheme="majorEastAsia" w:hAnsi="Times New Roman" w:hAnsiTheme="majorHAnsi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hyperlink" Id="rId55" Target="https://github.com/valbergregory/artigo-dsge-educaca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github.com/valbergregory/artigo-dsge-educaca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Austeridade Educacional se Autofinancia? Efeito Laffer Dinâmico do Gasto Público em Educação num DSGE Fiscal com Capital Humano</dc:title>
  <dc:creator>Valber Gregory Barbosa Costa Bezerra Santos</dc:creator>
  <cp:keywords/>
  <dcterms:created xsi:type="dcterms:W3CDTF">2026-09-07T22:55:24Z</dcterms:created>
  <dcterms:modified xsi:type="dcterms:W3CDTF">2026-09-07T22:55:24Z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Cortes no gasto público em educação são usualmente avaliados pelo seu alívio orçamentário imediato. Este artigo mostra que essa contabilidade é ilusória. Desenvolve-se um modelo dinâmico estocástico de equilíbrio geral (DSGE) fiscal com capital físico e humano, tributação distorciva e gasto público em educação como insumo produtivo da acumulação de capital humano, resolvido por previsão perfeita não linear com estado estacionário terminal endógeno. Simulam-se cortes permanentes de 1\%, 5\%, 10\% e 25\% e um cenário de teto de gasto (EC 95/2016). Um corte permanente de 10\% reduz o produto de longo prazo em 3{,}4\% e impõe perdas de bem-estar de até 2{,}4\% do consumo permanente (corte de 25\%); o multiplicador acumulado do gasto educacional sobre o produto supera a unidade. O resultado central é um efeito Laffer dinâmico da educação: como a arrecadação segue o produto (T=\tau Y), o corte corrói a própria base tributária; em valor presente de 30 anos, até 78\% da economia orçamentária é revertida, com break-even fiscal por volta do ano 33. A sensibilidade ao parâmetro-chave \phi (elasticidade do capital humano ao gasto) revela um limiar de autofinanciamento: acima de \phi\approx 0{,}45, o corte perde dinheiro até em valor presente. Conclui-se que a austeridade educacional é, em horizonte relevante, fiscalmente autodestrutiva.Palavras-chave: gasto público em educação; capital humano; DSGE fiscal; efeito Laffer; multiplicador fiscal; austeridade.</vt:lpwstr>
  </property>
  <property fmtid="{D5CDD505-2E9C-101B-9397-08002B2CF9AE}" pid="3" name="bibliography">
    <vt:lpwstr>referencias.bib</vt:lpwstr>
  </property>
  <property fmtid="{D5CDD505-2E9C-101B-9397-08002B2CF9AE}" pid="4" name="date">
    <vt:lpwstr>2026-09-07</vt:lpwstr>
  </property>
</Properties>
</file>