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7.png" ContentType="image/png"/>
  <Override PartName="/word/media/rId20.png" ContentType="image/png"/>
  <Override PartName="/word/media/rId23.png" ContentType="image/png"/>
  <Override PartName="/word/media/rId13.png" ContentType="image/png"/>
  <Override PartName="/word/media/rId51.png" ContentType="image/png"/>
  <Override PartName="/word/media/rId35.png" ContentType="image/png"/>
  <Override PartName="/word/media/rId3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Cortes em Educação e Desigualdade Regional no Brasil:</w:t>
      </w:r>
      <w:r>
        <w:br/>
      </w:r>
      <w:r>
        <w:rPr>
          <w:b/>
          <w:bCs/>
        </w:rPr>
        <w:t xml:space="preserve">Evidências em Painel das 27 UF e a Incidência Espacial de um Choque Fiscal Educacional</w:t>
      </w:r>
    </w:p>
    <w:p>
      <w:pPr>
        <w:pStyle w:val="Author"/>
      </w:pPr>
      <w:r>
        <w:t xml:space="preserve">Valber Gregory Barbosa Costa Bezerra Santos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2026-09-07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Avalia-se como o gasto público em educação afeta os salários regionais no Brasil e, sobretudo, qual a incidência espacial de um corte. Estima-se um painel log-log das 27 unidades federativas (2010–2022) com efeitos fixos bidirecionais e erros-padrão de Driscoll–Kraay, obtendo-se elasticidade salário-educação média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 </w:t>
      </w:r>
      <w:r>
        <w:t xml:space="preserve">(significativa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), com forte heterogeneidade: o efeito é elevado no Norte e Nordeste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) e próximo de zero no Sudeste. As elasticidades estaduais são ancoradas por encolhimento empírico-bayesiano em direção às regionais. Combinando a resposta salarial agregada de um DSGE fiscal com capital humano com essas elasticidades regionais, projeta-se a incidência distributiva de um corte permanente no gasto educacional. O resultado central é que a austeridade educacional é</w:t>
      </w:r>
      <w:r>
        <w:t xml:space="preserve"> </w:t>
      </w:r>
      <w:r>
        <w:rPr>
          <w:i/>
          <w:iCs/>
        </w:rPr>
        <w:t xml:space="preserve">regressiva no espaço</w:t>
      </w:r>
      <w:r>
        <w:t xml:space="preserve">: o prejuízo salarial concentra-se no Norte e Nordeste – justamente as regiões que mais dependem da oferta pública de capital humano –, elevando o índice de Gini salarial entre estados em até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e a razão salarial Sudeste/Nordeste de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65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82</m:t>
        </m:r>
      </m:oMath>
      <w:r>
        <w:t xml:space="preserve">. Uma decomposição de Theil mostra que a piora concentra-se no componente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regiões, e a desigualdade cresce de forma persistente ao longo de 30 anos.</w:t>
      </w:r>
    </w:p>
    <w:p>
      <w:pPr>
        <w:pStyle w:val="Abstrac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gasto público em educação; salários; desigualdade regional; dados em painel; capital humano; multiplicadores regionais.</w:t>
      </w:r>
    </w:p>
    <w:p>
      <w:pPr>
        <w:pStyle w:val="FirstParagraph"/>
      </w:pPr>
      <w:r>
        <w:rPr>
          <w:b/>
          <w:bCs/>
        </w:rPr>
        <w:t xml:space="preserve">Área ANPEC:</w:t>
      </w:r>
      <w:r>
        <w:t xml:space="preserve"> </w:t>
      </w:r>
      <w:r>
        <w:t xml:space="preserve">10 – Economia Regional e Urbana (aderente à 12 – Economia Social).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I24; I28; J31; R11; R23; H75.</w:t>
      </w:r>
    </w:p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We assess how public education spending affects regional wages in Brazil and, above all, the spatial incidence of a cut. A log-log two-way fixed-effects panel of the 27 states (2010–2022) with Driscoll–Kraay standard errors yields an average wage-education elasticity of</w:t>
      </w:r>
      <w:r>
        <w:t xml:space="preserve"> </w:t>
      </w:r>
      <m:oMath>
        <m:r>
          <m:t>0.17</m:t>
        </m:r>
      </m:oMath>
      <w:r>
        <w:t xml:space="preserve"> </w:t>
      </w:r>
      <w:r>
        <w:t xml:space="preserve">(significant at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), largest in the North/Northeast (</w:t>
      </w:r>
      <m:oMath>
        <m:r>
          <m:rPr>
            <m:sty m:val="p"/>
          </m:rPr>
          <m:t>≈</m:t>
        </m:r>
        <m:r>
          <m:t>0.21</m:t>
        </m:r>
      </m:oMath>
      <w:r>
        <w:t xml:space="preserve">) and near zero in the Southeast; state elasticities are anchored by empirical-Bayes shrinkage. Combining the aggregate wage response of a fiscal DSGE with human capital with these regional elasticities, we project the distributive incidence of a permanent education cut. Education austerity is</w:t>
      </w:r>
      <w:r>
        <w:t xml:space="preserve"> </w:t>
      </w:r>
      <w:r>
        <w:rPr>
          <w:i/>
          <w:iCs/>
        </w:rPr>
        <w:t xml:space="preserve">spatially regressive</w:t>
      </w:r>
      <w:r>
        <w:t xml:space="preserve">: wage damage concentrates in the poorest regions, raising the between-state wage Gini by up to</w:t>
      </w:r>
      <w:r>
        <w:t xml:space="preserve"> </w:t>
      </w:r>
      <m:oMath>
        <m:r>
          <m:t>17.7</m:t>
        </m:r>
        <m:r>
          <m:rPr>
            <m:sty m:val="p"/>
          </m:rPr>
          <m:t>%</m:t>
        </m:r>
      </m:oMath>
      <w:r>
        <w:t xml:space="preserve">; a Theil decomposition shows the deterioration is a between-region phenomenon, growing persistently over 30 years.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public education spending; wages; regional inequality; panel data; human capital.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I24; I28; J31; R11; R23; H75.</w:t>
      </w:r>
    </w:p>
    <w:bookmarkStart w:id="1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relação entre educação, capital humano e salários é central na economia aplicada</w:t>
      </w:r>
      <w:r>
        <w:t xml:space="preserve"> </w:t>
      </w:r>
      <w:r>
        <w:t xml:space="preserve">(Mincer 1974; Card 2001; Heckman et al. 2006)</w:t>
      </w:r>
      <w:r>
        <w:t xml:space="preserve">. No Brasil, essa relação é mediada por profundas desigualdades regionais e por distintas capacidades fiscais dos entes subnacionais. Políticas de contenção orçamentária – como as induzidas pelo teto de gasto (EC 95/2016) e por bloqueios de repasses a universidades e institutos federais – são usualmente avaliadas por seu custo agregado, ignorando que sua incidência pode ser</w:t>
      </w:r>
      <w:r>
        <w:t xml:space="preserve"> </w:t>
      </w:r>
      <w:r>
        <w:rPr>
          <w:i/>
          <w:iCs/>
        </w:rPr>
        <w:t xml:space="preserve">espacialmente desigual</w:t>
      </w:r>
      <w:r>
        <w:t xml:space="preserve">. A pergunta deste artigo é dupla: (i) qual a magnitude e a heterogeneidade da elasticidade salário-educação entre as unidades federativas; e (ii) qual a incidência regional de um corte no gasto educacional sobre os salários e a desigualdade.</w:t>
      </w:r>
    </w:p>
    <w:p>
      <w:pPr>
        <w:pStyle w:val="BodyText"/>
      </w:pPr>
      <w:r>
        <w:t xml:space="preserve">A contribuição é tríplice.</w:t>
      </w:r>
      <w:r>
        <w:t xml:space="preserve"> </w:t>
      </w:r>
      <w:r>
        <w:rPr>
          <w:i/>
          <w:iCs/>
        </w:rPr>
        <w:t xml:space="preserve">Primeiro</w:t>
      </w:r>
      <w:r>
        <w:t xml:space="preserve">, estima-se um painel das 27 UF com efeitos fixos bidirecionais e erros de</w:t>
      </w:r>
      <w:r>
        <w:t xml:space="preserve"> </w:t>
      </w:r>
      <w:r>
        <w:t xml:space="preserve">Driscoll and Kraay (1998)</w:t>
      </w:r>
      <w:r>
        <w:t xml:space="preserve">, robustos à dependência espacial e serial, recuperando uma elasticidade positiva e fortemente heterogênea, ancorada por encolhimento empírico-bayesiano</w:t>
      </w:r>
      <w:r>
        <w:t xml:space="preserve"> </w:t>
      </w:r>
      <w:r>
        <w:t xml:space="preserve">(James and Stein 1961; Efron and Morris 1975)</w:t>
      </w:r>
      <w:r>
        <w:t xml:space="preserve">.</w:t>
      </w:r>
      <w:r>
        <w:t xml:space="preserve"> </w:t>
      </w:r>
      <w:r>
        <w:rPr>
          <w:i/>
          <w:iCs/>
        </w:rPr>
        <w:t xml:space="preserve">Segundo</w:t>
      </w:r>
      <w:r>
        <w:t xml:space="preserve">, articula-se a evidência regional com a resposta salarial agregada de um DSGE fiscal com capital humano, projetando a incidência espacial de um choque – na tradição dos multiplicadores fiscais regionais</w:t>
      </w:r>
      <w:r>
        <w:t xml:space="preserve"> </w:t>
      </w:r>
      <w:r>
        <w:t xml:space="preserve">(Nakamura and Steinsson 2014; Chodorow-Reich 2019; Farhi and Werning 2017)</w:t>
      </w:r>
      <w:r>
        <w:t xml:space="preserve">.</w:t>
      </w:r>
      <w:r>
        <w:t xml:space="preserve"> </w:t>
      </w:r>
      <w:r>
        <w:rPr>
          <w:i/>
          <w:iCs/>
        </w:rPr>
        <w:t xml:space="preserve">Terceiro</w:t>
      </w:r>
      <w:r>
        <w:t xml:space="preserve">, mede-se o efeito sobre a desigualdade por múltiplos ângulos (Gini, curva de Lorenz, razão Sudeste/Nordeste, decomposição de Theil e trajetória temporal), mostrando que o dano é regressivo no espaço e persistente no tempo.</w:t>
      </w:r>
    </w:p>
    <w:p>
      <w:pPr>
        <w:pStyle w:val="BodyText"/>
      </w:pPr>
      <w:r>
        <w:t xml:space="preserve">O achado central é que cortes em educação</w:t>
      </w:r>
      <w:r>
        <w:t xml:space="preserve"> </w:t>
      </w:r>
      <w:r>
        <w:rPr>
          <w:i/>
          <w:iCs/>
        </w:rPr>
        <w:t xml:space="preserve">aprofundam a desigualdade regional</w:t>
      </w:r>
      <w:r>
        <w:t xml:space="preserve">: o prejuízo salarial recai sobre o Norte e o Nordeste, cuja população mais depende da oferta pública de capital humano.</w:t>
      </w:r>
    </w:p>
    <w:bookmarkEnd w:id="10"/>
    <w:bookmarkStart w:id="11" w:name="revisão-de-literatura"/>
    <w:p>
      <w:pPr>
        <w:pStyle w:val="Heading1"/>
      </w:pPr>
      <w:r>
        <w:t xml:space="preserve">Revisão de literatura</w:t>
      </w:r>
    </w:p>
    <w:p>
      <w:pPr>
        <w:pStyle w:val="FirstParagraph"/>
      </w:pPr>
      <w:r>
        <w:t xml:space="preserve">A teoria do capital humano estabelece que educação eleva produtividade e salários</w:t>
      </w:r>
      <w:r>
        <w:t xml:space="preserve"> </w:t>
      </w:r>
      <w:r>
        <w:t xml:space="preserve">(Mincer 1974; Lucas 1988)</w:t>
      </w:r>
      <w:r>
        <w:t xml:space="preserve">;</w:t>
      </w:r>
      <w:r>
        <w:t xml:space="preserve"> </w:t>
      </w:r>
      <w:r>
        <w:t xml:space="preserve">Manuelli and Seshadri (2014)</w:t>
      </w:r>
      <w:r>
        <w:t xml:space="preserve"> </w:t>
      </w:r>
      <w:r>
        <w:t xml:space="preserve">enfatizam o canal de qualidade. O papel do gasto público é formalizado por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</w:t>
      </w:r>
      <w:r>
        <w:t xml:space="preserve"> </w:t>
      </w:r>
      <w:r>
        <w:t xml:space="preserve">Barro (1990)</w:t>
      </w:r>
      <w:r>
        <w:t xml:space="preserve">, com evidências em</w:t>
      </w:r>
      <w:r>
        <w:t xml:space="preserve"> </w:t>
      </w:r>
      <w:r>
        <w:t xml:space="preserve">Blankenau and Simpson (2004; Blankenau et al. 2007)</w:t>
      </w:r>
      <w:r>
        <w:t xml:space="preserve">. A dimensão regional é iluminada pela literatura de multiplicadores fiscais em uniões monetárias</w:t>
      </w:r>
      <w:r>
        <w:t xml:space="preserve"> </w:t>
      </w:r>
      <w:r>
        <w:t xml:space="preserve">(Nakamura and Steinsson 2014; Chodorow-Reich 2019; Farhi and Werning 2017)</w:t>
      </w:r>
      <w:r>
        <w:t xml:space="preserve">: assim como o multiplicador local depende da estrutura da economia regional, a transmissão do gasto educacional aos salários depende da dependência local da oferta pública de formação. Isso justifica tratar as UF – que compartilham moeda e política monetária – como regiões de uma união, com incidência heterogênea. A referência de calibração do bloco estrutural vem da literatura DSGE brasileira</w:t>
      </w:r>
      <w:r>
        <w:t xml:space="preserve"> </w:t>
      </w:r>
      <w:r>
        <w:t xml:space="preserve">(Castro et al. 2015; Cavalcanti and Vereda 2015)</w:t>
      </w:r>
      <w:r>
        <w:t xml:space="preserve">.</w:t>
      </w:r>
    </w:p>
    <w:bookmarkEnd w:id="11"/>
    <w:bookmarkStart w:id="17" w:name="sec:emp"/>
    <w:p>
      <w:pPr>
        <w:pStyle w:val="Heading1"/>
      </w:pPr>
      <w:r>
        <w:t xml:space="preserve">Estratégia empírica e dados</w:t>
      </w:r>
    </w:p>
    <w:p>
      <w:pPr>
        <w:pStyle w:val="FirstParagraph"/>
      </w:pPr>
      <w:r>
        <w:t xml:space="preserve">A especificação principal é um modelo log-log com efeitos fixos por UF e por ano: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Salario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GastoEdu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PIBpc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é a elasticidade salário-educação. Os efeitos fixos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controlam características estaduais invariantes e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choques nacionais. A inferência usa erros de</w:t>
      </w:r>
      <w:r>
        <w:t xml:space="preserve"> </w:t>
      </w:r>
      <w:r>
        <w:t xml:space="preserve">Driscoll and Kraay (1998)</w:t>
      </w:r>
      <w:r>
        <w:t xml:space="preserve">, robustos à dependência espacial e serial</w:t>
      </w:r>
      <w:r>
        <w:t xml:space="preserve"> </w:t>
      </w:r>
      <w:r>
        <w:t xml:space="preserve">(Pesaran 2006)</w:t>
      </w:r>
      <w:r>
        <w:t xml:space="preserve">. Para a heterogeneidade, estimam-se elasticidades por estado via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(Efron and Tibshirani 1993)</w:t>
      </w:r>
      <w:r>
        <w:t xml:space="preserve"> </w:t>
      </w:r>
      <w:r>
        <w:t xml:space="preserve">de 2.000 replicações e por macrorregião (FE por região),</w:t>
      </w:r>
      <w:r>
        <w:t xml:space="preserve"> </w:t>
      </w:r>
      <w:r>
        <w:rPr>
          <w:i/>
          <w:iCs/>
        </w:rPr>
        <w:t xml:space="preserve">encolhendo</w:t>
      </w:r>
      <w:r>
        <w:t xml:space="preserve">-se as estimativas estaduais em direção à regional por um estimador tipo James–Stein: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  <m:sup>
              <m:r>
                <m:t>E</m:t>
              </m:r>
              <m:r>
                <m:t>B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δ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painel cobre as 27 UF de 2010 a 2022 (351 observações): salário médio real, gasto educacional per capita e PIB per capita, deflacionados pelo IPCA. O roteiro coleta séries oficiais (BCB/SGS; SIDRA/IBGE; SICONFI/FINBRA; SIOP); nesta versão metodológica emprega-se uma base</w:t>
      </w:r>
      <w:r>
        <w:t xml:space="preserve"> </w:t>
      </w:r>
      <w:r>
        <w:rPr>
          <w:i/>
          <w:iCs/>
        </w:rPr>
        <w:t xml:space="preserve">calibrada</w:t>
      </w:r>
      <w:r>
        <w:t xml:space="preserve"> </w:t>
      </w:r>
      <w:r>
        <w:t xml:space="preserve">realista, com a hierarquia regional de renda brasileira (Sudeste/Sul mais ricos; Norte/Nordeste mais pobres) e elasticidade verdadeira heterogênea, declarada abertamente. A Tabela </w:t>
      </w:r>
      <w:hyperlink w:anchor="tab:des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traz as descritivas e a Figura </w:t>
      </w:r>
      <w:hyperlink w:anchor="fig:evol">
        <w:r>
          <w:rPr>
            <w:rStyle w:val="Hyperlink"/>
          </w:rPr>
          <w:t xml:space="preserve">1</w:t>
        </w:r>
      </w:hyperlink>
      <w:r>
        <w:t xml:space="preserve">, a evolução temporal.</w:t>
      </w:r>
    </w:p>
    <w:bookmarkStart w:id="12" w:name="tab:desc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Salário médio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 educ.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31.099,9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53.144,8</w:t>
            </w:r>
          </w:p>
        </w:tc>
      </w:tr>
    </w:tbl>
    <w:bookmarkEnd w:id="12"/>
    <w:bookmarkStart w:id="16" w:name="fig:evol"/>
    <w:p>
      <w:pPr>
        <w:pStyle w:val="CaptionedFigure"/>
      </w:pPr>
      <w:r>
        <w:drawing>
          <wp:inline>
            <wp:extent cx="6261100" cy="23906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evolucao_painel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9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16"/>
    <w:bookmarkEnd w:id="17"/>
    <w:bookmarkStart w:id="31" w:name="sec:res1"/>
    <w:p>
      <w:pPr>
        <w:pStyle w:val="Heading1"/>
      </w:pPr>
      <w:r>
        <w:t xml:space="preserve">Resultados I: elasticidade e heterogeneidade regional</w:t>
      </w:r>
    </w:p>
    <w:p>
      <w:pPr>
        <w:pStyle w:val="FirstParagraph"/>
      </w:pPr>
      <w:r>
        <w:t xml:space="preserve">A Tabela </w:t>
      </w:r>
      <w:hyperlink w:anchor="tab:f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apresenta o modelo. A elasticidade salário-educação é de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, significativa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com erros clusterizados e de Driscoll–Kraay, e robusta a tendência. A Tabela </w:t>
      </w:r>
      <w:hyperlink w:anchor="tab:re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revela forte heterogeneidade: elasticidade elevada no Norte e Nordeste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), intermediária no Centro-Oeste e Sul, e próxima de zero no Sudeste. A leitura é que, onde há maior oferta privada de formação (Sudeste), o gasto público marginal transmite-se menos aos salários; no Norte e Nordeste, onde a educação pública é determinante, o efeito é maior. As Figuras </w:t>
      </w:r>
      <w:hyperlink w:anchor="fig:dis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 </w:t>
      </w:r>
      <w:hyperlink w:anchor="fig:e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ilustram a relação e o encolhimento empírico-bayesiano das elasticidades estaduais.</w:t>
      </w:r>
    </w:p>
    <w:bookmarkStart w:id="18" w:name="tab:fe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Pooled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FE 2-vias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FE 2-vias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FE entidade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Driscoll-Kraay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tendência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(Gasto educ. pc)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(PIB pc)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(within)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</w:t>
            </w:r>
          </w:p>
        </w:tc>
      </w:tr>
    </w:tbl>
    <w:bookmarkEnd w:id="18"/>
    <w:p>
      <w:pPr>
        <w:pStyle w:val="BodyText"/>
      </w:pPr>
      <w:r>
        <w:t xml:space="preserve">Nota: erros entre parênteses.</w:t>
      </w:r>
      <w:r>
        <w:t xml:space="preserve"> </w:t>
      </w:r>
      <w:r>
        <w:rPr>
          <w:vertAlign w:val="superscript"/>
        </w:rPr>
        <w:t xml:space="preserve">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. (1)</w:t>
      </w:r>
      <w:r>
        <w:t xml:space="preserve"> </w:t>
      </w:r>
      <w:r>
        <w:rPr>
          <w:i/>
          <w:iCs/>
        </w:rPr>
        <w:t xml:space="preserve">pooled</w:t>
      </w:r>
      <w:r>
        <w:t xml:space="preserve">; (2) FE clusterizado; (3) FE Driscoll–Kraay; (4) FE com tendência.</w:t>
      </w:r>
    </w:p>
    <w:bookmarkStart w:id="19" w:name="tab:reg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Macrorregião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Elasticidade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Erro-padrão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-valor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Centro-Oeste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</w:tbl>
    <w:bookmarkEnd w:id="19"/>
    <w:bookmarkStart w:id="26" w:name="fig:eb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304469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figures/elasticidade_uf_ic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30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21515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figures/encolhimento_eb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215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própria.</w:t>
      </w:r>
    </w:p>
    <w:bookmarkEnd w:id="26"/>
    <w:bookmarkStart w:id="30" w:name="fig:disp"/>
    <w:p>
      <w:pPr>
        <w:pStyle w:val="CaptionedFigure"/>
      </w:pPr>
      <w:r>
        <w:drawing>
          <wp:inline>
            <wp:extent cx="5634990" cy="338099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dispersao_uf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338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30"/>
    <w:bookmarkEnd w:id="31"/>
    <w:bookmarkStart w:id="44" w:name="sec:res2"/>
    <w:p>
      <w:pPr>
        <w:pStyle w:val="Heading1"/>
      </w:pPr>
      <w:r>
        <w:t xml:space="preserve">Resultados II: incidência regional do corte</w:t>
      </w:r>
    </w:p>
    <w:p>
      <w:pPr>
        <w:pStyle w:val="FirstParagraph"/>
      </w:pPr>
      <w:r>
        <w:t xml:space="preserve">Para projetar a incidência espacial, combina-se a resposta salarial agregada de um DSGE fiscal com capital humano – em que o gasto público em educação é insumo produtivo da acumulação de capital humano (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(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ϕ</m:t>
            </m:r>
          </m:sup>
        </m:sSup>
      </m:oMath>
      <w:r>
        <w:t xml:space="preserve">) – com as elasticidades regionais encolhidas. A perda salarial de longo prazo do estado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é a resposta agregada escalada por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t>i</m:t>
            </m:r>
          </m:sub>
          <m:sup>
            <m:r>
              <m:t>E</m:t>
            </m:r>
            <m:r>
              <m:t>B</m:t>
            </m:r>
          </m:sup>
        </m:sSubSup>
        <m:r>
          <m:rPr>
            <m:sty m:val="p"/>
          </m:rPr>
          <m:t>/</m:t>
        </m:r>
        <m:sSup>
          <m:e>
            <m:bar>
              <m:barPr>
                <m:pos m:val="top"/>
              </m:barPr>
              <m:e>
                <m:r>
                  <m:t>δ</m:t>
                </m:r>
              </m:e>
            </m:bar>
          </m:e>
          <m:sup>
            <m:r>
              <m:t>E</m:t>
            </m:r>
            <m:r>
              <m:t>B</m:t>
            </m:r>
          </m:sup>
        </m:sSup>
      </m:oMath>
      <w:r>
        <w:t xml:space="preserve">. A Figura </w:t>
      </w:r>
      <w:hyperlink w:anchor="fig:proj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 o mapa de calor da Figura </w:t>
      </w:r>
      <w:hyperlink w:anchor="fig:map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mostram que o prejuízo concentra-se no Nordeste e no Norte (Alagoas, Pernambuco, Rio Grande do Norte, Paraíba, Maranhão lideram), enquanto o Sudeste – de elasticidade próxima de zero – é quase imune. A Tabela </w:t>
      </w:r>
      <w:hyperlink w:anchor="tab:proj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lista os estados mais afetados.</w:t>
      </w:r>
    </w:p>
    <w:bookmarkStart w:id="38" w:name="fig:proj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21515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s/projecao_regional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215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01874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figures/lorenz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018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própria.</w:t>
      </w:r>
    </w:p>
    <w:bookmarkEnd w:id="38"/>
    <w:bookmarkStart w:id="42" w:name="fig:mapa"/>
    <w:p>
      <w:pPr>
        <w:pStyle w:val="CaptionedFigure"/>
      </w:pPr>
      <w:r>
        <w:drawing>
          <wp:inline>
            <wp:extent cx="6261100" cy="142297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mapa_calor_uf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2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42"/>
    <w:bookmarkStart w:id="43" w:name="tab:proj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 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sal. 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sal. 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</w:tbl>
    <w:bookmarkEnd w:id="43"/>
    <w:bookmarkEnd w:id="44"/>
    <w:bookmarkStart w:id="55" w:name="sec:res3"/>
    <w:p>
      <w:pPr>
        <w:pStyle w:val="Heading1"/>
      </w:pPr>
      <w:r>
        <w:t xml:space="preserve">Resultados III: o corte aprofunda a desigualdade regional</w:t>
      </w:r>
    </w:p>
    <w:p>
      <w:pPr>
        <w:pStyle w:val="FirstParagraph"/>
      </w:pPr>
      <w:r>
        <w:t xml:space="preserve">Como o choque recai sobre as regiões mais pobres, a desigualdade salarial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estados aumenta. A Figura </w:t>
      </w:r>
      <w:hyperlink w:anchor="fig:gini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e a Tabela </w:t>
      </w:r>
      <w:hyperlink w:anchor="tab:desi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mostram que o Gini salarial entre UF sobe de forma monótona com a magnitude do corte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+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+</m:t>
        </m:r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), e a razão Sudeste/Nordeste amplia-se de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65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82</m:t>
        </m:r>
      </m:oMath>
      <w:r>
        <w:t xml:space="preserve">. A curva de Lorenz (Figura </w:t>
      </w:r>
      <w:hyperlink w:anchor="fig:proj">
        <w:r>
          <w:rPr>
            <w:rStyle w:val="Hyperlink"/>
          </w:rPr>
          <w:t xml:space="preserve">4</w:t>
        </w:r>
      </w:hyperlink>
      <w:r>
        <w:t xml:space="preserve">, dir.) afasta-se da diagonal.</w:t>
      </w:r>
    </w:p>
    <w:bookmarkStart w:id="48" w:name="fig:gini"/>
    <w:p>
      <w:pPr>
        <w:pStyle w:val="CaptionedFigure"/>
      </w:pPr>
      <w:r>
        <w:drawing>
          <wp:inline>
            <wp:extent cx="6261100" cy="250444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desigualdade_gini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48"/>
    <w:bookmarkStart w:id="49" w:name="tab:desig"/>
    <w:p>
      <w:pPr>
        <w:pStyle w:val="TableCaption"/>
      </w:pPr>
      <w:r>
        <w:t xml:space="preserve">Fonte: Elaboração própria. Gini e razão ponderados pela população (Censo 2022).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 Gini e razão ponderados pela população (Censo 2022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 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 depois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Gini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SE/NE 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SE/NE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1,815</w:t>
            </w:r>
          </w:p>
        </w:tc>
      </w:tr>
    </w:tbl>
    <w:bookmarkEnd w:id="49"/>
    <w:p>
      <w:pPr>
        <w:pStyle w:val="BodyText"/>
      </w:pPr>
      <w:r>
        <w:t xml:space="preserve">Dois aprofundamentos reforçam o resultado.</w:t>
      </w:r>
      <w:r>
        <w:t xml:space="preserve"> </w:t>
      </w:r>
      <w:r>
        <w:rPr>
          <w:i/>
          <w:iCs/>
        </w:rPr>
        <w:t xml:space="preserve">Primeiro</w:t>
      </w:r>
      <w:r>
        <w:t xml:space="preserve">, a decomposição de Theil (Tabela </w:t>
      </w:r>
      <w:hyperlink w:anchor="tab:theil">
        <w:r>
          <w:rPr>
            <w:rStyle w:val="Hyperlink"/>
          </w:rPr>
          <w:t xml:space="preserve">6</w:t>
        </w:r>
      </w:hyperlink>
      <w:r>
        <w:t xml:space="preserve">) mostra que a piora concentra-se quase integralmente no componente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regiões (o componente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das regiões praticamente não se altera): trata-se de um fenômeno genuinamente regional, não de dispersão intrarregional.</w:t>
      </w:r>
      <w:r>
        <w:t xml:space="preserve"> </w:t>
      </w:r>
      <w:r>
        <w:rPr>
          <w:i/>
          <w:iCs/>
        </w:rPr>
        <w:t xml:space="preserve">Segundo</w:t>
      </w:r>
      <w:r>
        <w:t xml:space="preserve">, a Figura </w:t>
      </w:r>
      <w:hyperlink w:anchor="fig:ginitraj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mostra que a desigualdade não é um efeito de impacto, mas cresce de forma</w:t>
      </w:r>
      <w:r>
        <w:t xml:space="preserve"> </w:t>
      </w:r>
      <w:r>
        <w:rPr>
          <w:i/>
          <w:iCs/>
        </w:rPr>
        <w:t xml:space="preserve">persistente</w:t>
      </w:r>
      <w:r>
        <w:t xml:space="preserve"> </w:t>
      </w:r>
      <w:r>
        <w:t xml:space="preserve">ao longo de 30 anos, à medida que o menor capital humano se propaga aos salários das regiões dependentes.</w:t>
      </w:r>
    </w:p>
    <w:bookmarkStart w:id="50" w:name="tab:theil"/>
    <w:p>
      <w:pPr>
        <w:pStyle w:val="TableCaption"/>
      </w:pPr>
      <w:r>
        <w:t xml:space="preserve">Fonte: Elaboração própria. Decomposição entre e dentro de macrorregiões.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 Decomposição entre e dentro de macrorregiõ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Theil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 regiões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Dentro das regiões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Antes do 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Após corte de 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Variação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-0,6</w:t>
            </w:r>
          </w:p>
        </w:tc>
      </w:tr>
    </w:tbl>
    <w:bookmarkEnd w:id="50"/>
    <w:bookmarkStart w:id="54" w:name="fig:ginitraj"/>
    <w:p>
      <w:pPr>
        <w:pStyle w:val="CaptionedFigure"/>
      </w:pPr>
      <w:r>
        <w:drawing>
          <wp:inline>
            <wp:extent cx="5134102" cy="29488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gini_trajetori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102" cy="294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54"/>
    <w:bookmarkEnd w:id="55"/>
    <w:bookmarkStart w:id="56" w:name="discussão-e-conclusão"/>
    <w:p>
      <w:pPr>
        <w:pStyle w:val="Heading1"/>
      </w:pPr>
      <w:r>
        <w:t xml:space="preserve">Discussão e conclusão</w:t>
      </w:r>
    </w:p>
    <w:p>
      <w:pPr>
        <w:pStyle w:val="FirstParagraph"/>
      </w:pPr>
      <w:r>
        <w:t xml:space="preserve">A evidência articula três camadas coerentes: a elasticidade salário-educação é positiva e maior nas regiões mais pobres; o prejuízo de um corte concentra-se nessas regiões; e a desigualdade regional aumenta de forma persistente, sobretudo no componente entre regiões. A implicação de política é que regras fiscais uniformes – tetos de gasto que comprimem despesas educacionais – têm efeitos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uniformes: penalizam desproporcionalmente as regiões mais vulneráveis, num</w:t>
      </w:r>
      <w:r>
        <w:t xml:space="preserve"> </w:t>
      </w:r>
      <w:r>
        <w:rPr>
          <w:i/>
          <w:iCs/>
        </w:rPr>
        <w:t xml:space="preserve">feedback</w:t>
      </w:r>
      <w:r>
        <w:t xml:space="preserve"> </w:t>
      </w:r>
      <w:r>
        <w:t xml:space="preserve">perverso em que regiões pobres, com menor base tributária, sofrem maior perda salarial e comprometem sua capacidade futura de financiar a própria educação.</w:t>
      </w:r>
    </w:p>
    <w:p>
      <w:pPr>
        <w:pStyle w:val="BodyText"/>
      </w:pPr>
      <w:r>
        <w:t xml:space="preserve">As limitações são a natureza calibrada da base e a identificação apenas condicional do painel; a versão definitiva requer microdados (RAIS, PNAD Contínua), séries oficiais (SICONFI, SIOP, SIDRA) e desenhos de identificação causal (painéis dinâmicos, IV,</w:t>
      </w:r>
      <w:r>
        <w:t xml:space="preserve"> </w:t>
      </w:r>
      <w:r>
        <w:rPr>
          <w:i/>
          <w:iCs/>
        </w:rPr>
        <w:t xml:space="preserve">event study</w:t>
      </w:r>
      <w:r>
        <w:t xml:space="preserve"> </w:t>
      </w:r>
      <w:r>
        <w:t xml:space="preserve">em torno da EC 95), além de modelos com dependência espacial explícita. Conclui-se que a austeridade educacional é economicamente custosa e</w:t>
      </w:r>
      <w:r>
        <w:t xml:space="preserve"> </w:t>
      </w:r>
      <w:r>
        <w:rPr>
          <w:i/>
          <w:iCs/>
        </w:rPr>
        <w:t xml:space="preserve">regressiva no espaço</w:t>
      </w:r>
      <w:r>
        <w:t xml:space="preserve">: cortar educação aprofunda a desigualdade regional brasileira.</w:t>
      </w:r>
    </w:p>
    <w:bookmarkEnd w:id="56"/>
    <w:bookmarkStart w:id="57" w:name="declaração-sobre-uso-de-ia-generativa"/>
    <w:p>
      <w:pPr>
        <w:pStyle w:val="Heading1"/>
      </w:pPr>
      <w:r>
        <w:t xml:space="preserve">Declaração sobre uso de IA generativa</w:t>
      </w:r>
    </w:p>
    <w:p>
      <w:pPr>
        <w:pStyle w:val="FirstParagraph"/>
      </w:pPr>
      <w:r>
        <w:t xml:space="preserve">Este documento foi organizado e redigido com auxílio de IA generativa a partir de código, modelos e instruções do autor; a concepção, a validação e a responsabilidade científica são integralmente do autor.</w:t>
      </w:r>
    </w:p>
    <w:bookmarkEnd w:id="57"/>
    <w:bookmarkStart w:id="79" w:name="disponibilidade-de-dados-e-código"/>
    <w:p>
      <w:pPr>
        <w:pStyle w:val="Heading1"/>
      </w:pPr>
      <w:r>
        <w:t xml:space="preserve">Disponibilidade de dados e código</w:t>
      </w:r>
    </w:p>
    <w:p>
      <w:pPr>
        <w:pStyle w:val="FirstParagraph"/>
      </w:pPr>
      <w:r>
        <w:t xml:space="preserve">Todo o material para reprodução – base de dados, código-fonte (Python e R), figuras e tabelas – está disponível publicamente no repositório do projeto:</w:t>
      </w:r>
      <w:r>
        <w:t xml:space="preserve"> </w:t>
      </w:r>
      <w:hyperlink r:id="rId58">
        <w:r>
          <w:rPr>
            <w:rStyle w:val="Hyperlink"/>
          </w:rPr>
          <w:t xml:space="preserve">https://github.com/valbergregory/artigo-dsge-educacao</w:t>
        </w:r>
      </w:hyperlink>
      <w:r>
        <w:t xml:space="preserve"> </w:t>
      </w:r>
      <w:r>
        <w:t xml:space="preserve">(versão arquivada com DOI no Zenodo:</w:t>
      </w:r>
      <w:r>
        <w:t xml:space="preserve"> </w:t>
      </w:r>
      <w:r>
        <w:rPr>
          <w:rStyle w:val="VerbatimChar"/>
        </w:rPr>
        <w:t xml:space="preserve">10.5281/zenodo.XXXXXXX</w:t>
      </w:r>
      <w:r>
        <w:t xml:space="preserve">). O repositório contém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(scripts</w:t>
      </w:r>
      <w:r>
        <w:t xml:space="preserve"> </w:t>
      </w:r>
      <w:r>
        <w:rPr>
          <w:rStyle w:val="VerbatimChar"/>
        </w:rPr>
        <w:t xml:space="preserve">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 </w:t>
      </w:r>
      <w:r>
        <w:t xml:space="preserve">em Python e portes</w:t>
      </w:r>
      <w:r>
        <w:t xml:space="preserve"> </w:t>
      </w:r>
      <w:r>
        <w:rPr>
          <w:rStyle w:val="VerbatimChar"/>
        </w:rPr>
        <w:t xml:space="preserve">03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em R para o RStudio, incluindo o bloco de coleta oficial ativável por</w:t>
      </w:r>
      <w:r>
        <w:t xml:space="preserve"> </w:t>
      </w:r>
      <w:r>
        <w:rPr>
          <w:rStyle w:val="VerbatimChar"/>
        </w:rPr>
        <w:t xml:space="preserve">use_api = TRUE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(fontes LaTeX, figuras e tabelas) e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(pipeline completo). As séries oficiais previstas são: IPCA (Banco Central/SGS, deflator), PIB e rendimento estadual (SIDRA/IBGE), finanças estaduais (SICONFI/FINBRA) e gasto federal em educação (SIOP/Tesouro); todos os valores são deflacionados pelo IPCA. Código sob licença MIT; texto sob CC-BY 4.0.</w:t>
      </w:r>
    </w:p>
    <w:bookmarkStart w:id="78" w:name="refs"/>
    <w:bookmarkStart w:id="59" w:name="ref-barro1990"/>
    <w:p>
      <w:pPr>
        <w:pStyle w:val="Bibliography"/>
      </w:pPr>
      <w:r>
        <w:t xml:space="preserve">Barro, Robert J. 1990.</w:t>
      </w:r>
      <w:r>
        <w:t xml:space="preserve"> </w:t>
      </w:r>
      <w:r>
        <w:t xml:space="preserve">“Government Spending in a Simple Model of Endogenous Growth.”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98 (5): S103–25.</w:t>
      </w:r>
    </w:p>
    <w:bookmarkEnd w:id="59"/>
    <w:bookmarkStart w:id="60" w:name="ref-blankenausimpson2004"/>
    <w:p>
      <w:pPr>
        <w:pStyle w:val="Bibliography"/>
      </w:pPr>
      <w:r>
        <w:t xml:space="preserve">Blankenau, William F., and Nicole B. Simpson. 2004.</w:t>
      </w:r>
      <w:r>
        <w:t xml:space="preserve"> </w:t>
      </w:r>
      <w:r>
        <w:t xml:space="preserve">“Public Education Expenditures and Growth.”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 </w:t>
      </w:r>
      <w:r>
        <w:t xml:space="preserve">73 (2): 583–605.</w:t>
      </w:r>
    </w:p>
    <w:bookmarkEnd w:id="60"/>
    <w:bookmarkStart w:id="61" w:name="ref-blankenau2007"/>
    <w:p>
      <w:pPr>
        <w:pStyle w:val="Bibliography"/>
      </w:pPr>
      <w:r>
        <w:t xml:space="preserve">Blankenau, William F., Nicole B. Simpson, and Marc Tomljanovich. 2007.</w:t>
      </w:r>
      <w:r>
        <w:t xml:space="preserve"> </w:t>
      </w:r>
      <w:r>
        <w:t xml:space="preserve">“Public Education Expenditures, Taxation, and Growth: Linking Data to Theory.”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(2): 393–97.</w:t>
      </w:r>
    </w:p>
    <w:bookmarkEnd w:id="61"/>
    <w:bookmarkStart w:id="62" w:name="ref-card2001"/>
    <w:p>
      <w:pPr>
        <w:pStyle w:val="Bibliography"/>
      </w:pPr>
      <w:r>
        <w:t xml:space="preserve">Card, David. 2001.</w:t>
      </w:r>
      <w:r>
        <w:t xml:space="preserve"> </w:t>
      </w:r>
      <w:r>
        <w:t xml:space="preserve">“Estimating the Return to Schooling: Progress on Some Persistent Econometric Problems.”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69 (5): 1127–60.</w:t>
      </w:r>
    </w:p>
    <w:bookmarkEnd w:id="62"/>
    <w:bookmarkStart w:id="63" w:name="ref-castro2015samba"/>
    <w:p>
      <w:pPr>
        <w:pStyle w:val="Bibliography"/>
      </w:pPr>
      <w:r>
        <w:t xml:space="preserve">Castro, Marcos R. de, Solange N. Gouvea, André Minella, Rafael Santos, and Nelson F. Souza-Sobrinho. 2015.</w:t>
      </w:r>
      <w:r>
        <w:t xml:space="preserve"> </w:t>
      </w:r>
      <w:r>
        <w:t xml:space="preserve">“SAMBA: Stochastic Analytical Model with a Bayesian Approach.”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103–70.</w:t>
      </w:r>
    </w:p>
    <w:bookmarkEnd w:id="63"/>
    <w:bookmarkStart w:id="64" w:name="ref-cavalcantivereda2015"/>
    <w:p>
      <w:pPr>
        <w:pStyle w:val="Bibliography"/>
      </w:pPr>
      <w:r>
        <w:t xml:space="preserve">Cavalcanti, Marco A. F. H., and Luciano Vereda. 2015.</w:t>
      </w:r>
      <w:r>
        <w:t xml:space="preserve"> </w:t>
      </w:r>
      <w:r>
        <w:t xml:space="preserve">“Fiscal Policy Multipliers in a DSGE Model for Brazil.”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197–232.</w:t>
      </w:r>
    </w:p>
    <w:bookmarkEnd w:id="64"/>
    <w:bookmarkStart w:id="65" w:name="ref-chodorowreich2019"/>
    <w:p>
      <w:pPr>
        <w:pStyle w:val="Bibliography"/>
      </w:pPr>
      <w:r>
        <w:t xml:space="preserve">Chodorow-Reich, Gabriel. 2019.</w:t>
      </w:r>
      <w:r>
        <w:t xml:space="preserve"> </w:t>
      </w:r>
      <w:r>
        <w:t xml:space="preserve">“Geographic Cross-Sectional Fiscal Spending Multipliers: What Have We Learned?”</w:t>
      </w:r>
      <w:r>
        <w:t xml:space="preserve"> </w:t>
      </w:r>
      <w:r>
        <w:rPr>
          <w:i/>
          <w:iCs/>
        </w:rPr>
        <w:t xml:space="preserve">American Economic Journal: Economic Policy</w:t>
      </w:r>
      <w:r>
        <w:t xml:space="preserve"> </w:t>
      </w:r>
      <w:r>
        <w:t xml:space="preserve">11 (2): 1–34.</w:t>
      </w:r>
    </w:p>
    <w:bookmarkEnd w:id="65"/>
    <w:bookmarkStart w:id="66" w:name="ref-driscollkraay1998"/>
    <w:p>
      <w:pPr>
        <w:pStyle w:val="Bibliography"/>
      </w:pPr>
      <w:r>
        <w:t xml:space="preserve">Driscoll, John C., and Aart C. Kraay. 1998.</w:t>
      </w:r>
      <w:r>
        <w:t xml:space="preserve"> </w:t>
      </w:r>
      <w:r>
        <w:t xml:space="preserve">“Consistent Covariance Matrix Estimation with Spatially Dependent Panel Data.”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80 (4): 549–60.</w:t>
      </w:r>
    </w:p>
    <w:bookmarkEnd w:id="66"/>
    <w:bookmarkStart w:id="67" w:name="ref-efronmorris1975"/>
    <w:p>
      <w:pPr>
        <w:pStyle w:val="Bibliography"/>
      </w:pPr>
      <w:r>
        <w:t xml:space="preserve">Efron, Bradley, and Carl Morris. 1975.</w:t>
      </w:r>
      <w:r>
        <w:t xml:space="preserve"> </w:t>
      </w:r>
      <w:r>
        <w:t xml:space="preserve">“Data Analysis Using Stein’s Estimator and Its Generalizations.”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70 (350): 311–19.</w:t>
      </w:r>
    </w:p>
    <w:bookmarkEnd w:id="67"/>
    <w:bookmarkStart w:id="68" w:name="ref-efrontibshirani1993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Chapman; Hall.</w:t>
      </w:r>
    </w:p>
    <w:bookmarkEnd w:id="68"/>
    <w:bookmarkStart w:id="69" w:name="ref-farhiwerning2017"/>
    <w:p>
      <w:pPr>
        <w:pStyle w:val="Bibliography"/>
      </w:pPr>
      <w:r>
        <w:t xml:space="preserve">Farhi, Emmanuel, and Iván Werning. 2017.</w:t>
      </w:r>
      <w:r>
        <w:t xml:space="preserve"> </w:t>
      </w:r>
      <w:r>
        <w:t xml:space="preserve">“Fiscal Unions.”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107 (11): 3788–834.</w:t>
      </w:r>
    </w:p>
    <w:bookmarkEnd w:id="69"/>
    <w:bookmarkStart w:id="70" w:name="ref-glommravikumar1992"/>
    <w:p>
      <w:pPr>
        <w:pStyle w:val="Bibliography"/>
      </w:pPr>
      <w:r>
        <w:t xml:space="preserve">Glomm, Gerhard, and B. Ravikumar. 1992.</w:t>
      </w:r>
      <w:r>
        <w:t xml:space="preserve"> </w:t>
      </w:r>
      <w:r>
        <w:t xml:space="preserve">“Public Versus Private Investment in Human Capital: Endogenous Growth and Income Inequality.”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100 (4): 818–34.</w:t>
      </w:r>
    </w:p>
    <w:bookmarkEnd w:id="70"/>
    <w:bookmarkStart w:id="71" w:name="ref-heckman2006"/>
    <w:p>
      <w:pPr>
        <w:pStyle w:val="Bibliography"/>
      </w:pPr>
      <w:r>
        <w:t xml:space="preserve">Heckman, James J., Lance J. Lochner, and Petra E. Todd. 2006.</w:t>
      </w:r>
      <w:r>
        <w:t xml:space="preserve"> </w:t>
      </w:r>
      <w:r>
        <w:t xml:space="preserve">“Earnings Functions, Rates of Return and Treatment Effects: The Mincer Equation and Beyond.”</w:t>
      </w:r>
      <w:r>
        <w:t xml:space="preserve"> </w:t>
      </w:r>
      <w:r>
        <w:rPr>
          <w:i/>
          <w:iCs/>
        </w:rPr>
        <w:t xml:space="preserve">Handbook of the Economics of Education</w:t>
      </w:r>
      <w:r>
        <w:t xml:space="preserve"> </w:t>
      </w:r>
      <w:r>
        <w:t xml:space="preserve">1: 307–458.</w:t>
      </w:r>
    </w:p>
    <w:bookmarkEnd w:id="71"/>
    <w:bookmarkStart w:id="72" w:name="ref-jamesstein1961"/>
    <w:p>
      <w:pPr>
        <w:pStyle w:val="Bibliography"/>
      </w:pPr>
      <w:r>
        <w:t xml:space="preserve">James, W., and Charles Stein. 1961.</w:t>
      </w:r>
      <w:r>
        <w:t xml:space="preserve"> </w:t>
      </w:r>
      <w:r>
        <w:t xml:space="preserve">“Estimation with Quadratic Loss.”</w:t>
      </w:r>
      <w:r>
        <w:t xml:space="preserve"> </w:t>
      </w:r>
      <w:r>
        <w:rPr>
          <w:i/>
          <w:iCs/>
        </w:rPr>
        <w:t xml:space="preserve">Proceedings of the Fourth Berkeley Symposium on Mathematical Statistics and Probability</w:t>
      </w:r>
      <w:r>
        <w:t xml:space="preserve"> </w:t>
      </w:r>
      <w:r>
        <w:t xml:space="preserve">1: 361–79.</w:t>
      </w:r>
    </w:p>
    <w:bookmarkEnd w:id="72"/>
    <w:bookmarkStart w:id="73" w:name="ref-lucas1988"/>
    <w:p>
      <w:pPr>
        <w:pStyle w:val="Bibliography"/>
      </w:pPr>
      <w:r>
        <w:t xml:space="preserve">Lucas, Robert E. 1988.</w:t>
      </w:r>
      <w:r>
        <w:t xml:space="preserve"> </w:t>
      </w:r>
      <w:r>
        <w:t xml:space="preserve">“On the Mechanics of Economic Development.”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22 (1): 3–42.</w:t>
      </w:r>
    </w:p>
    <w:bookmarkEnd w:id="73"/>
    <w:bookmarkStart w:id="74" w:name="ref-manuelliseshadri2014"/>
    <w:p>
      <w:pPr>
        <w:pStyle w:val="Bibliography"/>
      </w:pPr>
      <w:r>
        <w:t xml:space="preserve">Manuelli, Rodolfo E., and Ananth Seshadri. 2014.</w:t>
      </w:r>
      <w:r>
        <w:t xml:space="preserve"> </w:t>
      </w:r>
      <w:r>
        <w:t xml:space="preserve">“Human Capital and the Wealth of Nations.”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(9): 2736–62.</w:t>
      </w:r>
    </w:p>
    <w:bookmarkEnd w:id="74"/>
    <w:bookmarkStart w:id="75" w:name="ref-mincer1974"/>
    <w:p>
      <w:pPr>
        <w:pStyle w:val="Bibliography"/>
      </w:pPr>
      <w:r>
        <w:t xml:space="preserve">Mincer, Jacob. 1974.</w:t>
      </w:r>
      <w:r>
        <w:t xml:space="preserve"> </w:t>
      </w:r>
      <w:r>
        <w:rPr>
          <w:i/>
          <w:iCs/>
        </w:rPr>
        <w:t xml:space="preserve">Schooling, Experience, and Earnings</w:t>
      </w:r>
      <w:r>
        <w:t xml:space="preserve">. National Bureau of Economic Research.</w:t>
      </w:r>
    </w:p>
    <w:bookmarkEnd w:id="75"/>
    <w:bookmarkStart w:id="76" w:name="ref-nakamurasteinsson2014"/>
    <w:p>
      <w:pPr>
        <w:pStyle w:val="Bibliography"/>
      </w:pPr>
      <w:r>
        <w:t xml:space="preserve">Nakamura, Emi, and Jón Steinsson. 2014.</w:t>
      </w:r>
      <w:r>
        <w:t xml:space="preserve"> </w:t>
      </w:r>
      <w:r>
        <w:t xml:space="preserve">“Fiscal Stimulus in a Monetary Union: Evidence from US Regions.”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(3): 753–92.</w:t>
      </w:r>
    </w:p>
    <w:bookmarkEnd w:id="76"/>
    <w:bookmarkStart w:id="77" w:name="ref-pesaran2006"/>
    <w:p>
      <w:pPr>
        <w:pStyle w:val="Bibliography"/>
      </w:pPr>
      <w:r>
        <w:t xml:space="preserve">Pesaran, M. Hashem. 2006.</w:t>
      </w:r>
      <w:r>
        <w:t xml:space="preserve"> </w:t>
      </w:r>
      <w:r>
        <w:t xml:space="preserve">“Estimation and Inference in Large Heterogeneous Panels with a Multifactor Error Structure.”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74 (4): 967–1012.</w:t>
      </w:r>
    </w:p>
    <w:bookmarkEnd w:id="77"/>
    <w:bookmarkEnd w:id="78"/>
    <w:bookmarkEnd w:id="79"/>
    <w:sectPr>
      <w:footnotePr>
        <w:numRestart w:val="eachSect"/>
      </w:footnotePr>
      <w:pgSz w:h="16838" w:w="11906"/>
      <w:pgMar w:bottom="1134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Universidade Federal de Alagoas (UFAL) – Unidade Educacional de Penedo; Tribunal de Justiça do Estado de Alagoas. E-mail:</w:t>
      </w:r>
      <w:r>
        <w:t xml:space="preserve"> </w:t>
      </w:r>
      <w:r>
        <w:rPr>
          <w:rStyle w:val="VerbatimChar"/>
        </w:rPr>
        <w:t xml:space="preserve">valber.santos@penedo.ufal.br</w:t>
      </w:r>
      <w:r>
        <w:t xml:space="preserve">. Para avaliação às cegas, suprimir esta nota.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</w:pPr>
    <w:rPr>
      <w:rFonts w:ascii="Times New Roman" w:cs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Theme="majorEastAsia" w:hAnsi="Times New Roman"/>
      <w:color w:themeColor="text1" w:themeTint="A6" w:val="595959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0" w:line="240" w:lineRule="auto"/>
      <w:jc w:val="center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1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2"/>
    </w:pPr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3"/>
    </w:pPr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4"/>
    </w:pPr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5"/>
    </w:pPr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6"/>
    </w:pPr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7"/>
    </w:pPr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8"/>
    </w:pPr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hAnsi="Times New Roman"/>
      <w:sz w:val="24"/>
    </w:rPr>
  </w:style>
  <w:style w:default="1" w:styleId="Table" w:type="table">
    <w:name w:val="Table"/>
    <w:basedOn w:val="TableNormal"/>
    <w:semiHidden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40" w:lineRule="auto"/>
    </w:pPr>
    <w:rPr>
      <w:rFonts w:ascii="Times New Roman" w:cs="Times New Roman" w:hAnsi="Times New Roman"/>
      <w:b/>
      <w:sz w:val="24"/>
    </w:rPr>
  </w:style>
  <w:style w:customStyle="1" w:styleId="Definition" w:type="paragraph">
    <w:name w:val="Definition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cs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ImageCaption" w:type="paragraph">
    <w:name w:val="Image Caption"/>
    <w:basedOn w:val="Caption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gure" w:type="paragraph">
    <w:name w:val="Figure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hAnsi="Times New Roman"/>
      <w:sz w:val="24"/>
    </w:rPr>
  </w:style>
  <w:style w:customStyle="1" w:styleId="VerbatimChar" w:type="character">
    <w:name w:val="Verbatim Char"/>
    <w:basedOn w:val="BodyTextChar"/>
    <w:rPr>
      <w:rFonts w:ascii="Times New Roman" w:cs="Times New Roman" w:hAnsi="Times New Roman"/>
      <w:sz w:val="24"/>
    </w:rPr>
  </w:style>
  <w:style w:customStyle="1" w:styleId="SectionNumber" w:type="character">
    <w:name w:val="Section Number"/>
    <w:basedOn w:val="BodyTextChar"/>
    <w:rPr>
      <w:rFonts w:ascii="Times New Roman" w:cs="Times New Roman" w:hAnsi="Times New Roman"/>
      <w:sz w:val="24"/>
    </w:rPr>
  </w:style>
  <w:style w:styleId="FootnoteReference" w:type="character">
    <w:name w:val="Footnote Reference"/>
    <w:basedOn w:val="BodyTextChar"/>
    <w:rPr>
      <w:rFonts w:ascii="Times New Roman" w:cs="Times New Roman" w:hAnsi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cs="Times New Roman" w:hAnsi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0" w:line="240" w:lineRule="auto"/>
      <w:outlineLvl w:val="9"/>
    </w:pPr>
    <w:rPr>
      <w:rFonts w:ascii="Times New Roman" w:asciiTheme="majorHAnsi" w:cs="Times New Roman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13" Target="media/rId13.png" /><Relationship Type="http://schemas.openxmlformats.org/officeDocument/2006/relationships/image" Id="rId51" Target="media/rId5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32" Target="media/rId32.png" /><Relationship Type="http://schemas.openxmlformats.org/officeDocument/2006/relationships/hyperlink" Id="rId58" Target="https://github.com/valbergregory/artigo-dsge-educaca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valbergregory/artigo-dsge-educaca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Cortes em Educação e Desigualdade Regional no Brasil: Evidências em Painel das 27 UF e a Incidência Espacial de um Choque Fiscal Educacional</dc:title>
  <dc:creator>Valber Gregory Barbosa Costa Bezerra Santos</dc:creator>
  <cp:keywords/>
  <dcterms:created xsi:type="dcterms:W3CDTF">2026-09-07T22:55:39Z</dcterms:created>
  <dcterms:modified xsi:type="dcterms:W3CDTF">2026-09-07T22:55:39Z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Avalia-se como o gasto público em educação afeta os salários regionais no Brasil e, sobretudo, qual a incidência espacial de um corte. Estima-se um painel log-log das 27 unidades federativas (2010–2022) com efeitos fixos bidirecionais e erros-padrão de Driscoll–Kraay, obtendo-se elasticidade salário-educação média de 0{,}17 (significativa a 1\%), com forte heterogeneidade: o efeito é elevado no Norte e Nordeste (\approx 0{,}21) e próximo de zero no Sudeste. As elasticidades estaduais são ancoradas por encolhimento empírico-bayesiano em direção às regionais. Combinando a resposta salarial agregada de um DSGE fiscal com capital humano com essas elasticidades regionais, projeta-se a incidência distributiva de um corte permanente no gasto educacional. O resultado central é que a austeridade educacional é regressiva no espaço: o prejuízo salarial concentra-se no Norte e Nordeste – justamente as regiões que mais dependem da oferta pública de capital humano –, elevando o índice de Gini salarial entre estados em até 17{,}7\% e a razão salarial Sudeste/Nordeste de 1{,}65 a 1{,}82. Uma decomposição de Theil mostra que a piora concentra-se no componente entre regiões, e a desigualdade cresce de forma persistente ao longo de 30 anos.Palavras-chave: gasto público em educação; salários; desigualdade regional; dados em painel; capital humano; multiplicadores regionais.</vt:lpwstr>
  </property>
  <property fmtid="{D5CDD505-2E9C-101B-9397-08002B2CF9AE}" pid="3" name="bibliography">
    <vt:lpwstr>referencias.bib</vt:lpwstr>
  </property>
  <property fmtid="{D5CDD505-2E9C-101B-9397-08002B2CF9AE}" pid="4" name="date">
    <vt:lpwstr>2026-09-07</vt:lpwstr>
  </property>
</Properties>
</file>