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48"/>
          <w:szCs w:val="48"/>
        </w:rPr>
        <w:t xml:space="preserve">Transmissão de Preços do Leite</w:t>
      </w:r>
    </w:p>
    <w:p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 xml:space="preserve">entre Regiões Brasileiras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Cointegração, correção de erro, assimetria e modelos com limiar (TVECM)</w:t>
      </w:r>
    </w:p>
    <w:p>
      <w:pPr>
        <w:spacing w:after="80"/>
        <w:jc w:val="center"/>
      </w:pPr>
      <w:r>
        <w:rPr>
          <w:color w:val="777777"/>
          <w:sz w:val="20"/>
          <w:szCs w:val="20"/>
        </w:rPr>
        <w:t xml:space="preserve">Dados: CEPEA/ESALQ-USP • jan/2016–abr/2026 • preços reais (IPCA)</w:t>
      </w:r>
    </w:p>
    <w:p>
      <w:pPr>
        <w:spacing w:after="600"/>
        <w:jc w:val="center"/>
      </w:pPr>
      <w:r>
        <w:rPr>
          <w:color w:val="999999"/>
          <w:sz w:val="18"/>
          <w:szCs w:val="18"/>
        </w:rPr>
        <w:t xml:space="preserve">Relatório gerado automaticamente a partir da análise em R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 w:line="276"/>
        <w:jc w:val="both"/>
      </w:pPr>
      <w:r>
        <w:t xml:space="preserve">Este relatório investiga a integração e a transmissão de preços do leite ao produtor entre as principais regiões produtoras do Brasil. A pergunta central é dupla: (i) os mercados regionais compartilham um equilíbrio de longo prazo (Lei do Preço Único)? e (ii) como choques de preço se propagam entre eles — com que velocidade, em que direção e de forma simétrica ou assimétrica?</w:t>
      </w:r>
    </w:p>
    <w:p>
      <w:pPr>
        <w:spacing w:after="160" w:line="276"/>
        <w:jc w:val="both"/>
      </w:pPr>
      <w:r>
        <w:t xml:space="preserve">A análise segue o arcabouço clássico da literatura de transmissão de preços agrícolas: testes de raiz unitária, cointegração de Engle-Granger (1987) e Johansen (1988, 1991), modelos de correção de erro (ECM), suas extensões assimétricas (von Cramon-Taubadel &amp; Loy, 1996) e de limiar — cointegração com limiar M-TAR (Enders &amp; Siklos, 2001) e VECM com limiar/TVECM (Balke &amp; Fomby, 1997; Hansen &amp; Seo, 2002), que captura a banda de não-arbitragem decorrente de custos de transação. Causalidade de Granger (1969) e a análise de funções de impulso-resposta de um VAR (Sims, 1980) completam o quadro.</w:t>
      </w:r>
    </w:p>
    <w:p>
      <w:pPr>
        <w:pStyle w:val="Heading1"/>
      </w:pPr>
      <w:r>
        <w:t xml:space="preserve">2. Dados e tratamento</w:t>
      </w:r>
    </w:p>
    <w:p>
      <w:pPr>
        <w:spacing w:after="160" w:line="276"/>
        <w:jc w:val="both"/>
      </w:pPr>
      <w:r>
        <w:t xml:space="preserve">Utiliza-se o Indicador CEPEA/ESALQ-USP do preço do leite ao produtor, na definição de preço líquido médio (efetivamente recebido pelo produtor, líquido de frete e tributos), por ser a série contínua ao longo de todo o período. Os arquivos originais do CEPEA também trazem o preço bruto, descontinuado a partir de dez/2019. Mantêm-se apenas as regiões com cobertura completa (jan/2016–abr/2026); Ceará e Mato Grosso do Sul foram excluídos por terem séries interrompidas. Os preços são deflacionados pelo IPCA (número-índice do IBGE, obtido via API do IPEA) e expressos a preços do último mês; trabalha-se com o logaritmo natural.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Quadro 1 — Fonte e variáveis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60"/>
        <w:gridCol w:w="6900"/>
      </w:tblGrid>
      <w:tr>
        <w:trPr>
          <w:tblHeader/>
        </w:trPr>
        <w:tc>
          <w:tcPr>
            <w:tcW w:type="dxa" w:w="24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Fonte</w:t>
            </w:r>
          </w:p>
        </w:tc>
        <w:tc>
          <w:tcPr>
            <w:tcW w:type="dxa" w:w="6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CEPEA/ESALQ-USP — Indicador do preço do leite ao produtor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  <w:tc>
          <w:tcPr>
            <w:tcW w:type="dxa" w:w="69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Preço líquido médio recebido pelo produtor (R$/litro)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Frequência / Período</w:t>
            </w:r>
          </w:p>
        </w:tc>
        <w:tc>
          <w:tcPr>
            <w:tcW w:type="dxa" w:w="6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Mensal — jan/2016 a abr/2026 (124 observações)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Regiões</w:t>
            </w:r>
          </w:p>
        </w:tc>
        <w:tc>
          <w:tcPr>
            <w:tcW w:type="dxa" w:w="69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Média Brasil + 8 estados (BA, ES, GO, MG, PR, RJ, SC, SP)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Deflator</w:t>
            </w:r>
          </w:p>
        </w:tc>
        <w:tc>
          <w:tcPr>
            <w:tcW w:type="dxa" w:w="6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IPCA – número-índice (IBGE, via API do IPEA); preços reais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Transformação</w:t>
            </w:r>
          </w:p>
        </w:tc>
        <w:tc>
          <w:tcPr>
            <w:tcW w:type="dxa" w:w="69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Logaritmo natural (coeficientes ≈ elasticidades)</w:t>
            </w:r>
          </w:p>
        </w:tc>
      </w:tr>
    </w:tbl>
    <w:p>
      <w:pPr>
        <w:spacing w:after="160" w:line="276"/>
        <w:jc w:val="both"/>
      </w:pPr>
      <w:r>
        <w:t xml:space="preserve"/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Tabela 1 — Estatísticas descritivas do preço real (R$/litro)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60"/>
        <w:gridCol w:w="1380"/>
        <w:gridCol w:w="1620"/>
        <w:gridCol w:w="1300"/>
        <w:gridCol w:w="1300"/>
        <w:gridCol w:w="1300"/>
      </w:tblGrid>
      <w:tr>
        <w:trPr>
          <w:tblHeader/>
        </w:trPr>
        <w:tc>
          <w:tcPr>
            <w:tcW w:type="dxa" w:w="24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3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6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Desv.-padrão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Máximo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 (%)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Bahia</w:t>
            </w:r>
          </w:p>
        </w:tc>
        <w:tc>
          <w:tcPr>
            <w:tcW w:type="dxa" w:w="13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2,293</w:t>
            </w:r>
          </w:p>
        </w:tc>
        <w:tc>
          <w:tcPr>
            <w:tcW w:type="dxa" w:w="16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0,455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1,58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3,407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19,845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Espírito Santo</w:t>
            </w:r>
          </w:p>
        </w:tc>
        <w:tc>
          <w:tcPr>
            <w:tcW w:type="dxa" w:w="13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2,318</w:t>
            </w:r>
          </w:p>
        </w:tc>
        <w:tc>
          <w:tcPr>
            <w:tcW w:type="dxa" w:w="16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0,517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1,618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4,085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22,296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Goiás</w:t>
            </w:r>
          </w:p>
        </w:tc>
        <w:tc>
          <w:tcPr>
            <w:tcW w:type="dxa" w:w="13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2,465</w:t>
            </w:r>
          </w:p>
        </w:tc>
        <w:tc>
          <w:tcPr>
            <w:tcW w:type="dxa" w:w="16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0,585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1,399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4,4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23,74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Média Brasil</w:t>
            </w:r>
          </w:p>
        </w:tc>
        <w:tc>
          <w:tcPr>
            <w:tcW w:type="dxa" w:w="13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2,457</w:t>
            </w:r>
          </w:p>
        </w:tc>
        <w:tc>
          <w:tcPr>
            <w:tcW w:type="dxa" w:w="16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0,53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1,519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4,23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21,576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Minas Gerais</w:t>
            </w:r>
          </w:p>
        </w:tc>
        <w:tc>
          <w:tcPr>
            <w:tcW w:type="dxa" w:w="13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2,497</w:t>
            </w:r>
          </w:p>
        </w:tc>
        <w:tc>
          <w:tcPr>
            <w:tcW w:type="dxa" w:w="16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0,54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1,555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4,272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21,639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Paraná</w:t>
            </w:r>
          </w:p>
        </w:tc>
        <w:tc>
          <w:tcPr>
            <w:tcW w:type="dxa" w:w="13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2,477</w:t>
            </w:r>
          </w:p>
        </w:tc>
        <w:tc>
          <w:tcPr>
            <w:tcW w:type="dxa" w:w="16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0,535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1,51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4,208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21,579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Rio de Janeiro</w:t>
            </w:r>
          </w:p>
        </w:tc>
        <w:tc>
          <w:tcPr>
            <w:tcW w:type="dxa" w:w="13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2,433</w:t>
            </w:r>
          </w:p>
        </w:tc>
        <w:tc>
          <w:tcPr>
            <w:tcW w:type="dxa" w:w="16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0,541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1,512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4,01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22,227</w:t>
            </w:r>
          </w:p>
        </w:tc>
      </w:tr>
      <w:tr>
        <w:tc>
          <w:tcPr>
            <w:tcW w:type="dxa" w:w="24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Santa Catarina</w:t>
            </w:r>
          </w:p>
        </w:tc>
        <w:tc>
          <w:tcPr>
            <w:tcW w:type="dxa" w:w="13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2,393</w:t>
            </w:r>
          </w:p>
        </w:tc>
        <w:tc>
          <w:tcPr>
            <w:tcW w:type="dxa" w:w="16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0,532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1,437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22,225</w:t>
            </w:r>
          </w:p>
        </w:tc>
      </w:tr>
      <w:tr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São Paulo</w:t>
            </w:r>
          </w:p>
        </w:tc>
        <w:tc>
          <w:tcPr>
            <w:tcW w:type="dxa" w:w="13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2,508</w:t>
            </w:r>
          </w:p>
        </w:tc>
        <w:tc>
          <w:tcPr>
            <w:tcW w:type="dxa" w:w="16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0,515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1,655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4,146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20,539</w:t>
            </w:r>
          </w:p>
        </w:tc>
      </w:tr>
    </w:tbl>
    <w:p>
      <w:pPr>
        <w:spacing w:after="120" w:line="276"/>
        <w:jc w:val="both"/>
      </w:pPr>
      <w:r>
        <w:t xml:space="preserve">Os níveis médios são próximos entre as regiões (R$ 2,29 a R$ 2,51/litro) e os coeficientes de variação são semelhantes (≈ 20–24%), um primeiro indício de que os mercados se movem de forma articulada.</w:t>
      </w:r>
    </w:p>
    <w:p>
      <w:pPr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01_series.png" descr="Figura 1 — Evolução do log do preço real do leite por região." title="Figura 1 — Evolução do log do preço real do leite por regi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1 — Evolução do log do preço real do leite por região.</w:t>
      </w:r>
    </w:p>
    <w:p>
      <w:pPr>
        <w:spacing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fig02_spreads.png" descr="Figura 2 — Diferencial de preço (log) de cada estado em relação à Média Brasil. A oscilação em torno de zero sugere relação de equilíbrio de longo prazo." title="Figura 2 — Diferencial de preço (log) de cada estado em relação à Média Brasil. A oscilação em torno de zero sugere relação de equilíbrio de longo praz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2 — Diferencial de preço (log) de cada estado em relação à Média Brasil. A oscilação em torno de zero sugere relação de equilíbrio de longo prazo.</w:t>
      </w:r>
    </w:p>
    <w:p>
      <w:pPr>
        <w:spacing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fig03_corr_heatmap.png" descr="Figura 3 — Correlação das variações mensais de preço entre as regiões." title="Figura 3 — Correlação das variações mensais de preço entre as regiõ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3 — Correlação das variações mensais de preço entre as regiões.</w:t>
      </w:r>
    </w:p>
    <w:p>
      <w:pPr>
        <w:pStyle w:val="Heading1"/>
      </w:pPr>
      <w:r>
        <w:t xml:space="preserve">3. Estratégia empírica</w:t>
      </w:r>
    </w:p>
    <w:p>
      <w:pPr>
        <w:spacing w:after="160" w:line="276"/>
        <w:jc w:val="both"/>
      </w:pPr>
      <w:r>
        <w:t xml:space="preserve">A sequência metodológica e as hipóteses de cada teste estão resumidas no Quadro 2. Em termos práticos: primeiro verifica-se a ordem de integração das séries; confirmando-se que são I(1), testa-se a cointegração; havendo cointegração, estima-se a dinâmica de curto prazo (ECM) e suas assimetrias; por fim, modelos de limiar (TVECM) e o VAR fornecem, respectivamente, a banda de não-arbitragem e a propagação de choques.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Quadro 2 — Métodos, hipóteses e interpretação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34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Hipótese nula (H₀)</w:t>
            </w:r>
          </w:p>
        </w:tc>
        <w:tc>
          <w:tcPr>
            <w:tcW w:type="dxa" w:w="34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indica rejeitar H₀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ADF / Phillips-Perron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série tem raiz unitária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série é estacionária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KPSS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série é estacionária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série é não estacionária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Johansen (traço)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posto de cointegração = r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há (mais) relação(ões) de longo prazo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Phillips-Ouliaris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há cointegração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mercados cointegrados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ECM assimétrico (Wald)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α⁺ = α⁻ (ajuste simétrico)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transmissão assimétrica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M-TAR (Enders-Siklos)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ρ⁺ = ρ⁻ (ajuste simétrico)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assimetria no ajuste ao limiar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Hansen-Seo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VECM linear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há efeito de limiar (TVECM)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Granger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 não antecede Y</w:t>
            </w:r>
          </w:p>
        </w:tc>
        <w:tc>
          <w:tcPr>
            <w:tcW w:type="dxa" w:w="3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 ajuda a prever Y (precedência)</w:t>
            </w:r>
          </w:p>
        </w:tc>
      </w:tr>
    </w:tbl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Ordem de integração</w:t>
      </w:r>
    </w:p>
    <w:p>
      <w:pPr>
        <w:spacing w:after="160" w:line="276"/>
        <w:jc w:val="both"/>
      </w:pPr>
      <w:r>
        <w:t xml:space="preserve">A Tabela 2 reporta os testes de raiz unitária. Em nível, a maioria das séries não rejeita fortemente a hipótese de raiz unitária pelos critérios conjuntos (ADF/PP/KPSS); em primeira diferença, o ADF rejeita amplamente a raiz unitária (estatísticas muito negativas). Conclui-se que os preços são integrados de ordem 1, I(1) — condição necessária para a análise de cointegração. (Valores críticos a 5%: ADF nível ≈ −3,43; KPSS ≈ 0,146.)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Tabela 2 — Testes de raiz unitária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ADF nível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ADF 1ª dif.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PP nível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KPSS nível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Média Brasil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-3,968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-6,378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-2,746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0,276</w:t>
            </w:r>
          </w:p>
        </w:tc>
      </w:tr>
      <w:tr>
        <w:tc>
          <w:tcPr>
            <w:tcW w:type="dxa" w:w="2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Bahia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-3,29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-5,913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-2,398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0,293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Espírito Santo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-3,506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-5,994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-2,651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0,227</w:t>
            </w:r>
          </w:p>
        </w:tc>
      </w:tr>
      <w:tr>
        <w:tc>
          <w:tcPr>
            <w:tcW w:type="dxa" w:w="2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Goiás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-3,798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-6,694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-2,686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0,292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Minas Gerais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-4,116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-6,385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-2,833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0,253</w:t>
            </w:r>
          </w:p>
        </w:tc>
      </w:tr>
      <w:tr>
        <w:tc>
          <w:tcPr>
            <w:tcW w:type="dxa" w:w="2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Paraná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-4,067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-6,207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-2,937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0,257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Rio de Janeiro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-2,837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-5,425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-2,494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0,331</w:t>
            </w:r>
          </w:p>
        </w:tc>
      </w:tr>
      <w:tr>
        <w:tc>
          <w:tcPr>
            <w:tcW w:type="dxa" w:w="2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Santa Catarina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-3,759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-6,407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-2,828</w:t>
            </w:r>
          </w:p>
        </w:tc>
        <w:tc>
          <w:tcPr>
            <w:tcW w:type="dxa" w:w="165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0,278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São Paulo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-4,062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-6,223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-2,639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0,29</w:t>
            </w:r>
          </w:p>
        </w:tc>
      </w:tr>
    </w:tbl>
    <w:p>
      <w:pPr>
        <w:pStyle w:val="Heading2"/>
      </w:pPr>
      <w:r>
        <w:t xml:space="preserve">4.2 Cointegração e correção de erro</w:t>
      </w:r>
    </w:p>
    <w:p>
      <w:pPr>
        <w:spacing w:after="160" w:line="276"/>
        <w:jc w:val="both"/>
      </w:pPr>
      <w:r>
        <w:t xml:space="preserve">O teste de Johansen sobre o sistema completo indica a existência de relações de cointegração entre as nove séries, confirmando um equilíbrio de longo prazo comum aos mercados. Na análise par a par (Tabela 3), o teste de Phillips-Ouliaris confirma cointegração com a Média Brasil para a maioria dos estados. As elasticidades de longo prazo (β) situam-se próximas de 1 (0,87 a 1,09), compatíveis com a Lei do Preço Único: variações no preço de referência repassam-se quase integralmente aos mercados regionais.</w:t>
      </w:r>
    </w:p>
    <w:p>
      <w:pPr>
        <w:spacing w:after="160" w:line="276"/>
        <w:jc w:val="both"/>
      </w:pPr>
      <w:r>
        <w:t xml:space="preserve">O termo de correção de erro (α) é negativo e estatisticamente significativo em todos os casos, indicando convergência ao equilíbrio. As velocidades de ajuste variam de cerca de 15% ao mês (Goiás) a 46% ao mês (Santa Catarina) — ou seja, parcela relevante de qualquer desequilíbrio é corrigida já no mês seguinte. A comparação entre α⁺ (desvios positivos) e α⁻ (desvios negativos), bem como o teste M-TAR, em geral não rejeita a simetria: a transmissão de altas e de baixas de preço ocorre a velocidades semelhantes na maioria dos estados (exceções marginais merecem leitura cautelosa).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Tabela 3 — Transmissão de preços, par a par (estado vs. Média Brasil)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60"/>
        <w:gridCol w:w="760"/>
        <w:gridCol w:w="720"/>
        <w:gridCol w:w="740"/>
        <w:gridCol w:w="760"/>
        <w:gridCol w:w="720"/>
        <w:gridCol w:w="720"/>
        <w:gridCol w:w="800"/>
        <w:gridCol w:w="820"/>
        <w:gridCol w:w="880"/>
        <w:gridCol w:w="880"/>
      </w:tblGrid>
      <w:tr>
        <w:trPr>
          <w:tblHeader/>
        </w:trPr>
        <w:tc>
          <w:tcPr>
            <w:tcW w:type="dxa" w:w="15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7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Coint.
(P-O)</w:t>
            </w:r>
          </w:p>
        </w:tc>
        <w:tc>
          <w:tcPr>
            <w:tcW w:type="dxa" w:w="7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β LP</w:t>
            </w:r>
          </w:p>
        </w:tc>
        <w:tc>
          <w:tcPr>
            <w:tcW w:type="dxa" w:w="7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α</w:t>
            </w:r>
          </w:p>
        </w:tc>
        <w:tc>
          <w:tcPr>
            <w:tcW w:type="dxa" w:w="7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p(α)</w:t>
            </w:r>
          </w:p>
        </w:tc>
        <w:tc>
          <w:tcPr>
            <w:tcW w:type="dxa" w:w="7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α⁺</w:t>
            </w:r>
          </w:p>
        </w:tc>
        <w:tc>
          <w:tcPr>
            <w:tcW w:type="dxa" w:w="7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α⁻</w:t>
            </w:r>
          </w:p>
        </w:tc>
        <w:tc>
          <w:tcPr>
            <w:tcW w:type="dxa" w:w="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Assim.
ECM (p)</w:t>
            </w:r>
          </w:p>
        </w:tc>
        <w:tc>
          <w:tcPr>
            <w:tcW w:type="dxa" w:w="8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Assim.
M-TAR (p)</w:t>
            </w:r>
          </w:p>
        </w:tc>
        <w:tc>
          <w:tcPr>
            <w:tcW w:type="dxa" w:w="8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Granger
ref→est</w:t>
            </w:r>
          </w:p>
        </w:tc>
        <w:tc>
          <w:tcPr>
            <w:tcW w:type="dxa" w:w="8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Granger
est→ref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Bahia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0,874</w:t>
            </w:r>
          </w:p>
        </w:tc>
        <w:tc>
          <w:tcPr>
            <w:tcW w:type="dxa" w:w="7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-0,221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-0,231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-0,213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0,888</w:t>
            </w:r>
          </w:p>
        </w:tc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0,872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0,006</w:t>
            </w:r>
          </w:p>
        </w:tc>
      </w:tr>
      <w:tr>
        <w:tc>
          <w:tcPr>
            <w:tcW w:type="dxa" w:w="15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Espírito Santo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0,952</w:t>
            </w:r>
          </w:p>
        </w:tc>
        <w:tc>
          <w:tcPr>
            <w:tcW w:type="dxa" w:w="7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-0,211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0,001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-0,172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-0,261</w:t>
            </w:r>
          </w:p>
        </w:tc>
        <w:tc>
          <w:tcPr>
            <w:tcW w:type="dxa" w:w="8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0,629</w:t>
            </w:r>
          </w:p>
        </w:tc>
        <w:tc>
          <w:tcPr>
            <w:tcW w:type="dxa" w:w="8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0,063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0,644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Goiás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Não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1,088</w:t>
            </w:r>
          </w:p>
        </w:tc>
        <w:tc>
          <w:tcPr>
            <w:tcW w:type="dxa" w:w="7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-0,15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0,004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-0,226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-0,077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0,286</w:t>
            </w:r>
          </w:p>
        </w:tc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0,571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0,638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0,006</w:t>
            </w:r>
          </w:p>
        </w:tc>
      </w:tr>
      <w:tr>
        <w:tc>
          <w:tcPr>
            <w:tcW w:type="dxa" w:w="15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Minas Gerais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0,997</w:t>
            </w:r>
          </w:p>
        </w:tc>
        <w:tc>
          <w:tcPr>
            <w:tcW w:type="dxa" w:w="7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-0,162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0,003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-0,169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-0,154</w:t>
            </w:r>
          </w:p>
        </w:tc>
        <w:tc>
          <w:tcPr>
            <w:tcW w:type="dxa" w:w="8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0,934</w:t>
            </w:r>
          </w:p>
        </w:tc>
        <w:tc>
          <w:tcPr>
            <w:tcW w:type="dxa" w:w="8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0,267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0,255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0,613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Paraná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1,001</w:t>
            </w:r>
          </w:p>
        </w:tc>
        <w:tc>
          <w:tcPr>
            <w:tcW w:type="dxa" w:w="7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-0,278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-0,434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-0,098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0,085</w:t>
            </w:r>
          </w:p>
        </w:tc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0,651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0,003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0,133</w:t>
            </w:r>
          </w:p>
        </w:tc>
      </w:tr>
      <w:tr>
        <w:tc>
          <w:tcPr>
            <w:tcW w:type="dxa" w:w="15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Rio de Janeiro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0,983</w:t>
            </w:r>
          </w:p>
        </w:tc>
        <w:tc>
          <w:tcPr>
            <w:tcW w:type="dxa" w:w="7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-0,244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-0,332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-0,156</w:t>
            </w:r>
          </w:p>
        </w:tc>
        <w:tc>
          <w:tcPr>
            <w:tcW w:type="dxa" w:w="8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0,283</w:t>
            </w:r>
          </w:p>
        </w:tc>
        <w:tc>
          <w:tcPr>
            <w:tcW w:type="dxa" w:w="8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0,717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0,445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Santa Catarina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1,025</w:t>
            </w:r>
          </w:p>
        </w:tc>
        <w:tc>
          <w:tcPr>
            <w:tcW w:type="dxa" w:w="7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-0,461</w:t>
            </w:r>
          </w:p>
        </w:tc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-0,451</w:t>
            </w:r>
          </w:p>
        </w:tc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-0,47</w:t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0,914</w:t>
            </w:r>
          </w:p>
        </w:tc>
        <w:tc>
          <w:tcPr>
            <w:tcW w:type="dxa" w:w="8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0,273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0,001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0,041</w:t>
            </w:r>
          </w:p>
        </w:tc>
      </w:tr>
      <w:tr>
        <w:tc>
          <w:tcPr>
            <w:tcW w:type="dxa" w:w="15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São Paulo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Não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0,928</w:t>
            </w:r>
          </w:p>
        </w:tc>
        <w:tc>
          <w:tcPr>
            <w:tcW w:type="dxa" w:w="7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-0,201</w:t>
            </w:r>
          </w:p>
        </w:tc>
        <w:tc>
          <w:tcPr>
            <w:tcW w:type="dxa" w:w="7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&lt;0,001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-0,215</w:t>
            </w:r>
          </w:p>
        </w:tc>
        <w:tc>
          <w:tcPr>
            <w:tcW w:type="dxa" w:w="7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-0,181</w:t>
            </w:r>
          </w:p>
        </w:tc>
        <w:tc>
          <w:tcPr>
            <w:tcW w:type="dxa" w:w="8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0,772</w:t>
            </w:r>
          </w:p>
        </w:tc>
        <w:tc>
          <w:tcPr>
            <w:tcW w:type="dxa" w:w="82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0,413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0,017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0,04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Nota: β LP = elasticidade de longo prazo; α = velocidade de ajuste ao equilíbrio (mensal); α⁺/α⁻ = ajuste a desvios positivos/negativos; p = valor-p. Coint. (P-O) = cointegração pelo teste de Phillips-Ouliaris a 5%.</w:t>
      </w:r>
    </w:p>
    <w:p>
      <w:pPr>
        <w:pStyle w:val="Heading2"/>
      </w:pPr>
      <w:r>
        <w:t xml:space="preserve">4.3 Modelo com limiar (TVECM) e banda de não-arbitragem</w:t>
      </w:r>
    </w:p>
    <w:p>
      <w:pPr>
        <w:spacing w:after="160" w:line="276"/>
        <w:jc w:val="both"/>
      </w:pPr>
      <w:r>
        <w:t xml:space="preserve">O TVECM permite que a velocidade de ajuste mude conforme o tamanho do desvio do equilíbrio. A intuição econômica é a banda de não-arbitragem: enquanto o desvio for menor que os custos de transação (regime interno), não compensa arbitrar e o ajuste é fraco; quando o desvio ultrapassa o limiar (regime externo), a arbitragem espacial age e o preço retorna rapidamente ao equilíbrio. A Tabela 4 traz o limiar estimado, as velocidades de ajuste por regime e o teste de Hansen-Seo (2002) para a presença de não linearidade de limiar.</w:t>
      </w:r>
    </w:p>
    <w:p>
      <w:pPr>
        <w:spacing w:after="160" w:line="276"/>
        <w:jc w:val="both"/>
      </w:pPr>
      <w:r>
        <w:t xml:space="preserve">Para vários pares, o ajuste é nitidamente mais forte em um dos regimes, e o teste de Hansen-Seo aponta efeito de limiar relevante (p ≤ 0,05, p.ex., Minas Gerais e São Paulo), corroborando a hipótese de custos de transação na integração espacial. A Figura 4 ilustra o mecanismo para o par destacado: a inclinação mais acentuada à esquerda do limiar evidencia o regime de ajuste rápido. (Coeficientes de regimes com poucas observações devem ser lidos com cautela.)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Tabela 4 — VECM com limiar (TVECM): estado vs. Média Brasil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1100"/>
        <w:gridCol w:w="980"/>
        <w:gridCol w:w="1500"/>
        <w:gridCol w:w="1480"/>
        <w:gridCol w:w="880"/>
        <w:gridCol w:w="880"/>
        <w:gridCol w:w="84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Limiar</w:t>
            </w:r>
          </w:p>
        </w:tc>
        <w:tc>
          <w:tcPr>
            <w:tcW w:type="dxa" w:w="9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β LP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α regime 1
(desvio baixo)</w:t>
            </w:r>
          </w:p>
        </w:tc>
        <w:tc>
          <w:tcPr>
            <w:tcW w:type="dxa" w:w="14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α regime 2
(desvio alto)</w:t>
            </w:r>
          </w:p>
        </w:tc>
        <w:tc>
          <w:tcPr>
            <w:tcW w:type="dxa" w:w="8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 reg. 1</w:t>
            </w:r>
          </w:p>
        </w:tc>
        <w:tc>
          <w:tcPr>
            <w:tcW w:type="dxa" w:w="88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 reg. 2</w:t>
            </w:r>
          </w:p>
        </w:tc>
        <w:tc>
          <w:tcPr>
            <w:tcW w:type="dxa" w:w="8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Hansen-Seo (p)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Bahia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-0,031</w:t>
            </w:r>
          </w:p>
        </w:tc>
        <w:tc>
          <w:tcPr>
            <w:tcW w:type="dxa" w:w="9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0,89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0,017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8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0,09</w:t>
            </w:r>
          </w:p>
        </w:tc>
      </w:tr>
      <w:tr>
        <w:tc>
          <w:tcPr>
            <w:tcW w:type="dxa" w:w="17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Espírito Santo</w:t>
            </w:r>
          </w:p>
        </w:tc>
        <w:tc>
          <w:tcPr>
            <w:tcW w:type="dxa" w:w="1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0,013</w:t>
            </w:r>
          </w:p>
        </w:tc>
        <w:tc>
          <w:tcPr>
            <w:tcW w:type="dxa" w:w="9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0,919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-0,496</w:t>
            </w:r>
          </w:p>
        </w:tc>
        <w:tc>
          <w:tcPr>
            <w:tcW w:type="dxa" w:w="1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-0,414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8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0,17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Goiás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-0,005</w:t>
            </w:r>
          </w:p>
        </w:tc>
        <w:tc>
          <w:tcPr>
            <w:tcW w:type="dxa" w:w="9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0,98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-0,438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-0,595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8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0,6</w:t>
            </w:r>
          </w:p>
        </w:tc>
      </w:tr>
      <w:tr>
        <w:tc>
          <w:tcPr>
            <w:tcW w:type="dxa" w:w="17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Minas Gerais</w:t>
            </w:r>
          </w:p>
        </w:tc>
        <w:tc>
          <w:tcPr>
            <w:tcW w:type="dxa" w:w="1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-0,015</w:t>
            </w:r>
          </w:p>
        </w:tc>
        <w:tc>
          <w:tcPr>
            <w:tcW w:type="dxa" w:w="9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1,018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-6,192</w:t>
            </w:r>
          </w:p>
        </w:tc>
        <w:tc>
          <w:tcPr>
            <w:tcW w:type="dxa" w:w="1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-0,315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8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0,05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Paraná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0,019</w:t>
            </w:r>
          </w:p>
        </w:tc>
        <w:tc>
          <w:tcPr>
            <w:tcW w:type="dxa" w:w="9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0,978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-0,663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0,104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8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0,42</w:t>
            </w:r>
          </w:p>
        </w:tc>
      </w:tr>
      <w:tr>
        <w:tc>
          <w:tcPr>
            <w:tcW w:type="dxa" w:w="17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Rio de Janeiro</w:t>
            </w:r>
          </w:p>
        </w:tc>
        <w:tc>
          <w:tcPr>
            <w:tcW w:type="dxa" w:w="1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0,03</w:t>
            </w:r>
          </w:p>
        </w:tc>
        <w:tc>
          <w:tcPr>
            <w:tcW w:type="dxa" w:w="9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1,023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-0,159</w:t>
            </w:r>
          </w:p>
        </w:tc>
        <w:tc>
          <w:tcPr>
            <w:tcW w:type="dxa" w:w="1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-0,377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8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0,96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Santa Catarina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0,027</w:t>
            </w:r>
          </w:p>
        </w:tc>
        <w:tc>
          <w:tcPr>
            <w:tcW w:type="dxa" w:w="9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0,961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-0,5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-2,302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84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0,26</w:t>
            </w:r>
          </w:p>
        </w:tc>
      </w:tr>
      <w:tr>
        <w:tc>
          <w:tcPr>
            <w:tcW w:type="dxa" w:w="17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São Paulo</w:t>
            </w:r>
          </w:p>
        </w:tc>
        <w:tc>
          <w:tcPr>
            <w:tcW w:type="dxa" w:w="1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0,015</w:t>
            </w:r>
          </w:p>
        </w:tc>
        <w:tc>
          <w:tcPr>
            <w:tcW w:type="dxa" w:w="9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0,981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-1,938</w:t>
            </w:r>
          </w:p>
        </w:tc>
        <w:tc>
          <w:tcPr>
            <w:tcW w:type="dxa" w:w="14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-0,206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88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84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0,05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04_tvecm_regimes.png" descr="Figura 4 — TVECM: ajuste do preço ao desvio do equilíbrio, por regime, com o limiar estimado (linha tracejada)." title="Figura 4 — TVECM: ajuste do preço ao desvio do equilíbrio, por regime, com o limiar estimado (linha tracej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4 — TVECM: ajuste do preço ao desvio do equilíbrio, por regime, com o limiar estimado (linha tracejada).</w:t>
      </w:r>
    </w:p>
    <w:p>
      <w:pPr>
        <w:pStyle w:val="Heading2"/>
      </w:pPr>
      <w:r>
        <w:t xml:space="preserve">4.4 Causalidade de Granger</w:t>
      </w:r>
    </w:p>
    <w:p>
      <w:pPr>
        <w:spacing w:after="160" w:line="276"/>
        <w:jc w:val="both"/>
      </w:pPr>
      <w:r>
        <w:t xml:space="preserve">A matriz de causalidade de Granger (Figura 5) mostra a estrutura de precedência temporal entre os mercados. A Média Brasil — e estados de grande peso na produção, como Minas Gerais e São Paulo — antecede sistematicamente os demais, sinal de liderança no descobrimento de preços a partir dos grandes centros produtores; alguns pares exibem causalidade bidirecional (retroalimentação).</w:t>
      </w:r>
    </w:p>
    <w:p>
      <w:pPr>
        <w:spacing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fig05_granger_heatmap.png" descr="Figura 5 — Causalidade de Granger (causa → efeito). Células escuras indicam que a região da linha antecede a da coluna." title="Figura 5 — Causalidade de Granger (causa → efeito). Células escuras indicam que a região da linha antecede a da colu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5 — Causalidade de Granger (causa → efeito). Células escuras indicam que a região da linha antecede a da coluna.</w:t>
      </w:r>
    </w:p>
    <w:p>
      <w:pPr>
        <w:pStyle w:val="Heading2"/>
      </w:pPr>
      <w:r>
        <w:t xml:space="preserve">4.5 Impulso-resposta e decomposição da variância</w:t>
      </w:r>
    </w:p>
    <w:p>
      <w:pPr>
        <w:spacing w:after="160" w:line="276"/>
        <w:jc w:val="both"/>
      </w:pPr>
      <w:r>
        <w:t xml:space="preserve">A partir de um VAR estimado nas diferenças, as funções de impulso-resposta (Figura 6) mostram como cada estado reage a um choque de um desvio-padrão no preço de referência: a resposta é positiva e se dissipa em poucos meses, coerente com a rápida correção de erro. A decomposição da variância do erro de previsão a 12 meses (Figura 7 e Tabela 5) quantifica a importância das fontes de choque: o preço de referência explica parcela majoritária da variância dos estados mais integrados (Paraná ≈ 66%, Santa Catarina ≈ 61%, Minas Gerais ≈ 60%), ao passo que mercados periféricos (Bahia, Rio de Janeiro, Espírito Santo) preservam maior componente idiossincrático.</w:t>
      </w:r>
    </w:p>
    <w:p>
      <w:pPr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06_irf.png" descr="Figura 6 — Funções de impulso-resposta: reação dos estados a um choque na Média Brasil (bandas de 95% por bootstrap)." title="Figura 6 — Funções de impulso-resposta: reação dos estados a um choque na Média Brasil (bandas de 95% por bootstrap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6 — Funções de impulso-resposta: reação dos estados a um choque na Média Brasil (bandas de 95% por bootstrap).</w:t>
      </w:r>
    </w:p>
    <w:p>
      <w:pPr>
        <w:spacing w:before="12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fig07_fevd.png" descr="Figura 7 — Decomposição da variância do erro de previsão (12 meses): fonte dos choques que explicam o preço de cada estado." title="Figura 7 — Decomposição da variância do erro de previsão (12 meses): fonte dos choques que explicam o preço de cada es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55555"/>
          <w:sz w:val="18"/>
          <w:szCs w:val="18"/>
        </w:rPr>
        <w:t xml:space="preserve">Figura 7 — Decomposição da variância do erro de previsão (12 meses): fonte dos choques que explicam o preço de cada estado.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Tabela 5 — Decomposição da variância a 12 meses (% explicada por cada fonte)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Referência</w:t>
            </w:r>
          </w:p>
        </w:tc>
        <w:tc>
          <w:tcPr>
            <w:tcW w:type="dxa" w:w="2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Própria</w:t>
            </w:r>
          </w:p>
        </w:tc>
        <w:tc>
          <w:tcPr>
            <w:tcW w:type="dxa" w:w="2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Outros</w:t>
            </w:r>
          </w:p>
        </w:tc>
      </w:tr>
      <w:tr>
        <w:tc>
          <w:tcPr>
            <w:tcW w:type="dxa" w:w="30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Bahia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37,7%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32,2%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30,0%</w:t>
            </w:r>
          </w:p>
        </w:tc>
      </w:tr>
      <w:tr>
        <w:tc>
          <w:tcPr>
            <w:tcW w:type="dxa" w:w="30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Espírito Santo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44,0%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31,1%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24,9%</w:t>
            </w:r>
          </w:p>
        </w:tc>
      </w:tr>
      <w:tr>
        <w:tc>
          <w:tcPr>
            <w:tcW w:type="dxa" w:w="30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Goiás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58,8%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9,8%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31,4%</w:t>
            </w:r>
          </w:p>
        </w:tc>
      </w:tr>
      <w:tr>
        <w:tc>
          <w:tcPr>
            <w:tcW w:type="dxa" w:w="30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Minas Gerais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60,0%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32,7%</w:t>
            </w:r>
          </w:p>
        </w:tc>
      </w:tr>
      <w:tr>
        <w:tc>
          <w:tcPr>
            <w:tcW w:type="dxa" w:w="30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Paraná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65,7%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8,0%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26,2%</w:t>
            </w:r>
          </w:p>
        </w:tc>
      </w:tr>
      <w:tr>
        <w:tc>
          <w:tcPr>
            <w:tcW w:type="dxa" w:w="30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Rio de Janeiro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40,3%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25,3%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34,4%</w:t>
            </w:r>
          </w:p>
        </w:tc>
      </w:tr>
      <w:tr>
        <w:tc>
          <w:tcPr>
            <w:tcW w:type="dxa" w:w="30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Santa Catarina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61,4%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6,0%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32,6%</w:t>
            </w:r>
          </w:p>
        </w:tc>
      </w:tr>
      <w:tr>
        <w:tc>
          <w:tcPr>
            <w:tcW w:type="dxa" w:w="306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São Paulo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59,8%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11,9%</w:t>
            </w:r>
          </w:p>
        </w:tc>
        <w:tc>
          <w:tcPr>
            <w:tcW w:type="dxa" w:w="2100"/>
            <w:shd w:fill="EAF1F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28,3%</w:t>
            </w:r>
          </w:p>
        </w:tc>
      </w:tr>
    </w:tbl>
    <w:p>
      <w:pPr>
        <w:pStyle w:val="Heading1"/>
      </w:pPr>
      <w:r>
        <w:t xml:space="preserve">5. Síntese e conclusões</w:t>
      </w:r>
    </w:p>
    <w:p>
      <w:pPr>
        <w:spacing w:after="160" w:line="276"/>
        <w:jc w:val="both"/>
      </w:pPr>
      <w:r>
        <w:t xml:space="preserve">Os resultados desenham um mercado nacional de leite ao produtor fortemente integrado: as séries são I(1) e cointegradas, com elasticidades de longo prazo próximas da unidade (Lei do Preço Único), correção de erro rápida (15–46% ao mês) e transmissão majoritariamente simétrica entre altas e baixas. Modelos de limiar (TVECM) indicam, para parte dos pares, uma banda de não-arbitragem compatível com custos de transação, com ajuste mais veloz fora da banda. A causalidade de Granger e a decomposição da variância apontam liderança de preços nos grandes centros produtores e na referência nacional, com mercados periféricos mais autônomos.</w:t>
      </w:r>
    </w:p>
    <w:p>
      <w:pPr>
        <w:pStyle w:val="ListParagraph"/>
        <w:numPr>
          <w:ilvl w:val="0"/>
          <w:numId w:val="2"/>
        </w:numPr>
      </w:pPr>
      <w:r>
        <w:t xml:space="preserve">Integração de longo prazo confirmada (Johansen + Phillips-Ouliaris).</w:t>
      </w:r>
    </w:p>
    <w:p>
      <w:pPr>
        <w:pStyle w:val="ListParagraph"/>
        <w:numPr>
          <w:ilvl w:val="0"/>
          <w:numId w:val="2"/>
        </w:numPr>
      </w:pPr>
      <w:r>
        <w:t xml:space="preserve">Ajuste rápido ao equilíbrio; SC e PR os mais integrados.</w:t>
      </w:r>
    </w:p>
    <w:p>
      <w:pPr>
        <w:pStyle w:val="ListParagraph"/>
        <w:numPr>
          <w:ilvl w:val="0"/>
          <w:numId w:val="2"/>
        </w:numPr>
      </w:pPr>
      <w:r>
        <w:t xml:space="preserve">Assimetria de transmissão pouco frequente — repasse de altas e baixas semelhante.</w:t>
      </w:r>
    </w:p>
    <w:p>
      <w:pPr>
        <w:pStyle w:val="ListParagraph"/>
        <w:numPr>
          <w:ilvl w:val="0"/>
          <w:numId w:val="2"/>
        </w:numPr>
      </w:pPr>
      <w:r>
        <w:t xml:space="preserve">Evidência de efeito de limiar (banda de não-arbitragem) em pares selecionados.</w:t>
      </w:r>
    </w:p>
    <w:p>
      <w:pPr>
        <w:pStyle w:val="Heading1"/>
      </w:pPr>
      <w:r>
        <w:t xml:space="preserve">Referências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Balke, N. S.; Fomby, T. B. (1997). Threshold cointegration. International Economic Review, 38(3), 627–645.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Enders, W.; Siklos, P. L. (2001). Cointegration and threshold adjustment. Journal of Business &amp; Economic Statistics, 19(2), 166–176.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Engle, R. F.; Granger, C. W. J. (1987). Co-integration and error correction: representation, estimation, and testing. Econometrica, 55(2), 251–276.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Goodwin, B. K.; Piggott, N. E. (2001). Spatial market integration in the presence of threshold effects. American Journal of Agricultural Economics, 83(2), 302–317.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Granger, C. W. J. (1969). Investigating causal relations by econometric models and cross-spectral methods. Econometrica, 37(3), 424–438.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Hansen, B. E.; Seo, B. (2002). Testing for two-regime threshold cointegration in vector error-correction models. Journal of Econometrics, 110(2), 293–318.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Johansen, S. (1988). Statistical analysis of cointegration vectors. Journal of Economic Dynamics and Control, 12(2–3), 231–254.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Johansen, S. (1991). Estimation and hypothesis testing of cointegration vectors in Gaussian VAR models. Econometrica, 59(6), 1551–1580.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Meyer, J.; von Cramon-Taubadel, S. (2004). Asymmetric price transmission: a survey. Journal of Agricultural Economics, 55(3), 581–611.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Phillips, P. C. B.; Ouliaris, S. (1990). Asymptotic properties of residual based tests for cointegration. Econometrica, 58(1), 165–193.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Sims, C. A. (1980). Macroeconomics and reality. Econometrica, 48(1), 1–48.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von Cramon-Taubadel, S.; Loy, J.-P. (1996). Price asymmetry in the international wheat market. Canadian Journal of Agricultural Economics, 44(3), 311–325.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321c77be65bba269e2475c8145f31e92df0ec7.png"/><Relationship Id="rId9" Type="http://schemas.openxmlformats.org/officeDocument/2006/relationships/image" Target="media/1f94ebf277d8da42b445e780521958a9f54ac172.png"/><Relationship Id="rId10" Type="http://schemas.openxmlformats.org/officeDocument/2006/relationships/image" Target="media/362dc076023032de5d689c1e909f730f808fdd83.png"/><Relationship Id="rId11" Type="http://schemas.openxmlformats.org/officeDocument/2006/relationships/image" Target="media/ffcce786b390a161de0ea97c9e1438da598f60ba.png"/><Relationship Id="rId12" Type="http://schemas.openxmlformats.org/officeDocument/2006/relationships/image" Target="media/0a56c2e5926e20ef407801fdfcb0f0984d98ba28.png"/><Relationship Id="rId13" Type="http://schemas.openxmlformats.org/officeDocument/2006/relationships/image" Target="media/c6e25ac1024fb60e39cf07cb3a3b61e7548458da.png"/><Relationship Id="rId14" Type="http://schemas.openxmlformats.org/officeDocument/2006/relationships/image" Target="media/2a2891c26a8f8e26aa7d965d2ed490c91ed1baa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Transmissão de preços do leite entre regiões brasileiras</dc:title>
  <dc:creator>Análise econométrica (R)</dc:creator>
  <cp:lastModifiedBy>Un-named</cp:lastModifiedBy>
  <cp:revision>1</cp:revision>
  <dcterms:created xsi:type="dcterms:W3CDTF">2026-06-30T04:35:47.202Z</dcterms:created>
  <dcterms:modified xsi:type="dcterms:W3CDTF">2026-06-30T04:35:47.202Z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