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1B2A4A"/>
          <w:sz w:val="72"/>
          <w:szCs w:val="72"/>
        </w:rPr>
        <w:t xml:space="preserve">PRD</w:t>
      </w:r>
    </w:p>
    <w:p>
      <w:pPr>
        <w:spacing w:after="100" w:before="200"/>
        <w:jc w:val="center"/>
      </w:pPr>
      <w:r>
        <w:rPr>
          <w:i/>
          <w:iCs/>
          <w:color w:val="6B7280"/>
          <w:sz w:val="26"/>
          <w:szCs w:val="26"/>
        </w:rPr>
        <w:t xml:space="preserve">Product Requirements Document</w:t>
      </w:r>
    </w:p>
    <w:p>
      <w:pPr>
        <w:spacing w:before="500"/>
        <w:jc w:val="center"/>
      </w:pPr>
      <w:r>
        <w:rPr>
          <w:b/>
          <w:bCs/>
          <w:color w:val="111111"/>
          <w:sz w:val="40"/>
          <w:szCs w:val="40"/>
        </w:rPr>
        <w:t xml:space="preserve">Conversor de Eventos da Folha</w:t>
      </w:r>
    </w:p>
    <w:p>
      <w:pPr>
        <w:spacing w:after="600" w:before="100"/>
        <w:jc w:val="center"/>
      </w:pPr>
      <w:r>
        <w:rPr>
          <w:b/>
          <w:bCs/>
          <w:color w:val="2E6F6E"/>
          <w:sz w:val="24"/>
          <w:szCs w:val="24"/>
        </w:rPr>
        <w:t xml:space="preserve">Plataforma SaaS Multi-Tenant de Automação de Folha de Pagamento</w:t>
      </w:r>
    </w:p>
    <w:p>
      <w:pPr>
        <w:spacing w:before="1400"/>
        <w:jc w:val="center"/>
      </w:pPr>
      <w:r>
        <w:rPr>
          <w:color w:val="6B7280"/>
          <w:sz w:val="22"/>
          <w:szCs w:val="22"/>
        </w:rPr>
        <w:t xml:space="preserve">Versão 2.0 — Reestruturação Comercial</w:t>
      </w:r>
    </w:p>
    <w:p>
      <w:pPr>
        <w:spacing w:before="100"/>
        <w:jc w:val="center"/>
      </w:pPr>
      <w:r>
        <w:rPr>
          <w:color w:val="6B7280"/>
          <w:sz w:val="22"/>
          <w:szCs w:val="22"/>
        </w:rPr>
        <w:t xml:space="preserve">Preparado para: Valber Santana</w:t>
      </w:r>
    </w:p>
    <w:p>
      <w:pPr>
        <w:spacing w:before="100"/>
        <w:jc w:val="center"/>
      </w:pPr>
      <w:r>
        <w:rPr>
          <w:color w:val="6B7280"/>
          <w:sz w:val="22"/>
          <w:szCs w:val="22"/>
        </w:rPr>
        <w:t xml:space="preserve">Data: 22 de julho de 2026</w:t>
      </w:r>
    </w:p>
    <w:p>
      <w:pPr>
        <w:sectPr>
          <w:pgSz w:w="12240" w:h="15840" w:orient="portrait"/>
          <w:pgMar w:top="1440" w:right="1440" w:bottom="1440" w:left="1440" w:header="708" w:footer="708" w:gutter="0"/>
          <w:pgNumType/>
          <w:docGrid w:linePitch="360"/>
        </w:sectPr>
      </w:pPr>
    </w:p>
    <w:p>
      <w:pPr>
        <w:pStyle w:val="Heading1"/>
        <w:pBdr>
          <w:bottom w:val="single" w:color="1B2A4A" w:sz="6" w:space="4"/>
        </w:pBdr>
        <w:spacing w:after="200" w:before="400"/>
      </w:pPr>
      <w:r>
        <w:rPr>
          <w:b/>
          <w:bCs/>
          <w:color w:val="1B2A4A"/>
          <w:sz w:val="30"/>
          <w:szCs w:val="30"/>
        </w:rPr>
        <w:t xml:space="preserve">0. Nota de Reestruturação — O que mudou e por quê</w:t>
      </w:r>
    </w:p>
    <w:p>
      <w:pPr>
        <w:pBdr>
          <w:top w:val="single" w:color="E5E7EB" w:sz="2"/>
          <w:bottom w:val="single" w:color="E5E7EB" w:sz="2"/>
          <w:left w:val="single" w:color="B3261E" w:sz="24"/>
          <w:right w:val="single" w:color="E5E7EB" w:sz="2"/>
        </w:pBdr>
        <w:shd w:fill="F2F4F7" w:val="clear"/>
        <w:spacing w:after="200" w:before="80"/>
        <w:ind w:left="100" w:right="100"/>
      </w:pPr>
      <w:r>
        <w:rPr>
          <w:b/>
          <w:bCs/>
          <w:color w:val="B3261E"/>
          <w:sz w:val="21"/>
          <w:szCs w:val="21"/>
        </w:rPr>
        <w:t xml:space="preserve">Diagnóstico: </w:t>
      </w:r>
      <w:r>
        <w:rPr>
          <w:sz w:val="21"/>
          <w:szCs w:val="21"/>
        </w:rPr>
        <w:t xml:space="preserve">o documento original descrevia uma ferramenta utilitária client-side (converte 1 planilha, roda no navegador, sem conta, sem cobrança, regras fixas para uma única empresa). Isso não é um SaaS comercial — é um script com interface. Este PRD reestrutura o produto para viabilizar venda recorrente multi-cliente.</w:t>
      </w:r>
    </w:p>
    <w:p>
      <w:pPr>
        <w:spacing w:after="140" w:line="300"/>
      </w:pPr>
      <w:r>
        <w:rPr>
          <w:sz w:val="21"/>
          <w:szCs w:val="21"/>
        </w:rPr>
        <w:t xml:space="preserve">Três decisões de arquitetura foram tomadas para esta versão e orientam todo o restante do documento:</w:t>
      </w:r>
    </w:p>
    <w:p>
      <w:pPr>
        <w:pStyle w:val="ListParagraph"/>
        <w:numPr>
          <w:ilvl w:val="0"/>
          <w:numId w:val="2"/>
        </w:numPr>
        <w:spacing w:after="60" w:line="290"/>
      </w:pPr>
      <w:r>
        <w:rPr>
          <w:sz w:val="21"/>
          <w:szCs w:val="21"/>
        </w:rPr>
        <w:t xml:space="preserve">Regras de conversão deixam de ser hardcoded e passam a ser configuráveis por tenant (motor de regras) — permite vender para qualquer empresa de RH, não apenas para o layout de planilha original.</w:t>
      </w:r>
    </w:p>
    <w:p>
      <w:pPr>
        <w:pStyle w:val="ListParagraph"/>
        <w:numPr>
          <w:ilvl w:val="0"/>
          <w:numId w:val="2"/>
        </w:numPr>
        <w:spacing w:after="60" w:line="290"/>
      </w:pPr>
      <w:r>
        <w:rPr>
          <w:sz w:val="21"/>
          <w:szCs w:val="21"/>
        </w:rPr>
        <w:t xml:space="preserve">A aplicação ganha backend em Supabase (autenticação, tenants, planos, histórico, auditoria). O processamento do arquivo continua ocorrendo no navegador — mantém a promessa de privacidade dos dados de folha — mas login, cobrança e limites de uso passam a existir de fato.</w:t>
      </w:r>
    </w:p>
    <w:p>
      <w:pPr>
        <w:pStyle w:val="ListParagraph"/>
        <w:numPr>
          <w:ilvl w:val="0"/>
          <w:numId w:val="2"/>
        </w:numPr>
        <w:spacing w:after="60" w:line="290"/>
      </w:pPr>
      <w:r>
        <w:rPr>
          <w:sz w:val="21"/>
          <w:szCs w:val="21"/>
        </w:rPr>
        <w:t xml:space="preserve">Modelo de monetização é assinatura mensal por empresa (SaaS recorrente clássico), com limite de conversões e de layouts configurados por plano.</w:t>
      </w:r>
    </w:p>
    <w:p>
      <w:pPr>
        <w:spacing w:after="140" w:line="300"/>
      </w:pPr>
      <w:r>
        <w:rPr>
          <w:sz w:val="21"/>
          <w:szCs w:val="21"/>
        </w:rPr>
        <w:t xml:space="preserve">Consequência prática: o PRD original vira a especificação do "motor de conversão" (seção 8 e 9 deste documento) — ele é preservado quase integralmente como núcleo de processamento. Tudo o que envolve conta, plano, cobrança, configuração de regras e auditoria é adição desta versão.</w:t>
      </w:r>
    </w:p>
    <w:p>
      <w:pPr>
        <w:pStyle w:val="Heading1"/>
        <w:pBdr>
          <w:bottom w:val="single" w:color="1B2A4A" w:sz="6" w:space="4"/>
        </w:pBdr>
        <w:spacing w:after="200" w:before="400"/>
      </w:pPr>
      <w:r>
        <w:rPr>
          <w:b/>
          <w:bCs/>
          <w:color w:val="1B2A4A"/>
          <w:sz w:val="30"/>
          <w:szCs w:val="30"/>
        </w:rPr>
        <w:t xml:space="preserve">1. Sumário Executivo</w:t>
      </w:r>
    </w:p>
    <w:p>
      <w:pPr>
        <w:spacing w:after="140" w:line="300"/>
      </w:pPr>
      <w:r>
        <w:rPr>
          <w:sz w:val="21"/>
          <w:szCs w:val="21"/>
        </w:rPr>
        <w:t xml:space="preserve">O Conversor de Eventos da Folha é uma plataforma SaaS que automatiza a conversão de planilhas de RH (Excel) em arquivos CSV prontos para importação em sistemas de folha de pagamento. Em vez de cada empresa depender de um analista de DP fazendo esse trabalho manualmente todo mês — ou de um desenvolvedor mantendo scripts avulsos por cliente — o produto oferece um motor de regras configurável: cada empresa cadastra o layout da sua planilha uma única vez, e a partir daí a conversão é feita em segundos, todo mês, sem intervenção manual.</w:t>
      </w:r>
    </w:p>
    <w:p>
      <w:pPr>
        <w:spacing w:after="140" w:line="300"/>
      </w:pPr>
      <w:r>
        <w:rPr>
          <w:sz w:val="21"/>
          <w:szCs w:val="21"/>
        </w:rPr>
        <w:t xml:space="preserve">O produto ataca um problema real e recorrente (processamento de folha é mensal, obrigatório, e propenso a erro manual), com potencial de venda para escritórios de contabilidade, departamentos de RH e BPOs de folha de pagamento que atendem múltiplos clientes com layouts de planilha diferentes.</w:t>
      </w:r>
    </w:p>
    <w:p>
      <w:pPr>
        <w:pStyle w:val="Heading1"/>
        <w:pBdr>
          <w:bottom w:val="single" w:color="1B2A4A" w:sz="6" w:space="4"/>
        </w:pBdr>
        <w:spacing w:after="200" w:before="400"/>
      </w:pPr>
      <w:r>
        <w:rPr>
          <w:b/>
          <w:bCs/>
          <w:color w:val="1B2A4A"/>
          <w:sz w:val="30"/>
          <w:szCs w:val="30"/>
        </w:rPr>
        <w:t xml:space="preserve">2. Objetivo do Produto</w:t>
      </w:r>
    </w:p>
    <w:p>
      <w:pPr>
        <w:spacing w:after="140" w:line="300"/>
      </w:pPr>
      <w:r>
        <w:rPr>
          <w:sz w:val="21"/>
          <w:szCs w:val="21"/>
        </w:rPr>
        <w:t xml:space="preserve">Permitir que qualquer empresa ou escritório de contabilidade:</w:t>
      </w:r>
    </w:p>
    <w:p>
      <w:pPr>
        <w:pStyle w:val="ListParagraph"/>
        <w:numPr>
          <w:ilvl w:val="0"/>
          <w:numId w:val="3"/>
        </w:numPr>
        <w:spacing w:after="60" w:line="290"/>
      </w:pPr>
      <w:r>
        <w:rPr>
          <w:sz w:val="21"/>
          <w:szCs w:val="21"/>
        </w:rPr>
        <w:t xml:space="preserve">cadastre seu layout de planilha de RH uma única vez, através de um assistente de configuração (sem código);</w:t>
      </w:r>
    </w:p>
    <w:p>
      <w:pPr>
        <w:pStyle w:val="ListParagraph"/>
        <w:numPr>
          <w:ilvl w:val="0"/>
          <w:numId w:val="3"/>
        </w:numPr>
        <w:spacing w:after="60" w:line="290"/>
      </w:pPr>
      <w:r>
        <w:rPr>
          <w:sz w:val="21"/>
          <w:szCs w:val="21"/>
        </w:rPr>
        <w:t xml:space="preserve">faça upload mensal do arquivo Excel e receba o CSV validado em segundos;</w:t>
      </w:r>
    </w:p>
    <w:p>
      <w:pPr>
        <w:pStyle w:val="ListParagraph"/>
        <w:numPr>
          <w:ilvl w:val="0"/>
          <w:numId w:val="3"/>
        </w:numPr>
        <w:spacing w:after="60" w:line="290"/>
      </w:pPr>
      <w:r>
        <w:rPr>
          <w:sz w:val="21"/>
          <w:szCs w:val="21"/>
        </w:rPr>
        <w:t xml:space="preserve">acompanhe histórico de conversões, valores processados e erros recorrentes;</w:t>
      </w:r>
    </w:p>
    <w:p>
      <w:pPr>
        <w:pStyle w:val="ListParagraph"/>
        <w:numPr>
          <w:ilvl w:val="0"/>
          <w:numId w:val="3"/>
        </w:numPr>
        <w:spacing w:after="60" w:line="290"/>
      </w:pPr>
      <w:r>
        <w:rPr>
          <w:sz w:val="21"/>
          <w:szCs w:val="21"/>
        </w:rPr>
        <w:t xml:space="preserve">opere dentro de um plano pago, com controle de uso, e mantenha os dados de folha (sensíveis, LGPD) processados localmente no navegador.</w:t>
      </w:r>
    </w:p>
    <w:p>
      <w:pPr>
        <w:pStyle w:val="Heading1"/>
        <w:pBdr>
          <w:bottom w:val="single" w:color="1B2A4A" w:sz="6" w:space="4"/>
        </w:pBdr>
        <w:spacing w:after="200" w:before="400"/>
      </w:pPr>
      <w:r>
        <w:rPr>
          <w:b/>
          <w:bCs/>
          <w:color w:val="1B2A4A"/>
          <w:sz w:val="30"/>
          <w:szCs w:val="30"/>
        </w:rPr>
        <w:t xml:space="preserve">3. ICP e Personas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00"/>
      </w:tblGrid>
      <w:tr>
        <w:trPr>
          <w:tblHeader/>
        </w:trPr>
        <w:tc>
          <w:tcPr>
            <w:tcW w:type="dxa" w:w="2200"/>
            <w:shd w:fill="1B2A4A" w:val="clear"/>
            <w:tcMar>
              <w:top w:type="dxa" w:w="80"/>
              <w:left w:type="dxa" w:w="120"/>
              <w:bottom w:type="dxa" w:w="80"/>
              <w:right w:type="dxa" w:w="120"/>
            </w:tcMar>
          </w:tcPr>
          <w:p>
            <w:pPr>
              <w:jc w:val="left"/>
            </w:pPr>
            <w:r>
              <w:rPr>
                <w:b/>
                <w:bCs/>
                <w:color w:val="FFFFFF"/>
                <w:sz w:val="19"/>
                <w:szCs w:val="19"/>
              </w:rPr>
              <w:t xml:space="preserve">Persona</w:t>
            </w:r>
          </w:p>
        </w:tc>
        <w:tc>
          <w:tcPr>
            <w:tcW w:type="dxa" w:w="3600"/>
            <w:shd w:fill="1B2A4A" w:val="clear"/>
            <w:tcMar>
              <w:top w:type="dxa" w:w="80"/>
              <w:left w:type="dxa" w:w="120"/>
              <w:bottom w:type="dxa" w:w="80"/>
              <w:right w:type="dxa" w:w="120"/>
            </w:tcMar>
          </w:tcPr>
          <w:p>
            <w:pPr>
              <w:jc w:val="left"/>
            </w:pPr>
            <w:r>
              <w:rPr>
                <w:b/>
                <w:bCs/>
                <w:color w:val="FFFFFF"/>
                <w:sz w:val="19"/>
                <w:szCs w:val="19"/>
              </w:rPr>
              <w:t xml:space="preserve">Perfil</w:t>
            </w:r>
          </w:p>
        </w:tc>
        <w:tc>
          <w:tcPr>
            <w:tcW w:type="dxa" w:w="3800"/>
            <w:shd w:fill="1B2A4A" w:val="clear"/>
            <w:tcMar>
              <w:top w:type="dxa" w:w="80"/>
              <w:left w:type="dxa" w:w="120"/>
              <w:bottom w:type="dxa" w:w="80"/>
              <w:right w:type="dxa" w:w="120"/>
            </w:tcMar>
          </w:tcPr>
          <w:p>
            <w:pPr>
              <w:jc w:val="left"/>
            </w:pPr>
            <w:r>
              <w:rPr>
                <w:b/>
                <w:bCs/>
                <w:color w:val="FFFFFF"/>
                <w:sz w:val="19"/>
                <w:szCs w:val="19"/>
              </w:rPr>
              <w:t xml:space="preserve">Dor principal</w:t>
            </w:r>
          </w:p>
        </w:tc>
      </w:tr>
      <w:tr>
        <w:tc>
          <w:tcPr>
            <w:tcW w:type="dxa" w:w="2200"/>
            <w:shd w:fill="FFFFFF" w:val="clear"/>
            <w:tcMar>
              <w:top w:type="dxa" w:w="80"/>
              <w:left w:type="dxa" w:w="120"/>
              <w:bottom w:type="dxa" w:w="80"/>
              <w:right w:type="dxa" w:w="120"/>
            </w:tcMar>
          </w:tcPr>
          <w:p>
            <w:pPr>
              <w:jc w:val="left"/>
            </w:pPr>
            <w:r>
              <w:rPr>
                <w:b w:val="false"/>
                <w:bCs w:val="false"/>
                <w:color w:val="111111"/>
                <w:sz w:val="19"/>
                <w:szCs w:val="19"/>
              </w:rPr>
              <w:t xml:space="preserve">Analista/Coordenador de DP</w:t>
            </w:r>
          </w:p>
        </w:tc>
        <w:tc>
          <w:tcPr>
            <w:tcW w:type="dxa" w:w="3600"/>
            <w:shd w:fill="FFFFFF" w:val="clear"/>
            <w:tcMar>
              <w:top w:type="dxa" w:w="80"/>
              <w:left w:type="dxa" w:w="120"/>
              <w:bottom w:type="dxa" w:w="80"/>
              <w:right w:type="dxa" w:w="120"/>
            </w:tcMar>
          </w:tcPr>
          <w:p>
            <w:pPr>
              <w:jc w:val="left"/>
            </w:pPr>
            <w:r>
              <w:rPr>
                <w:b w:val="false"/>
                <w:bCs w:val="false"/>
                <w:color w:val="111111"/>
                <w:sz w:val="19"/>
                <w:szCs w:val="19"/>
              </w:rPr>
              <w:t xml:space="preserve">Empresa com 50–2.000 funcionários, folha própria</w:t>
            </w:r>
          </w:p>
        </w:tc>
        <w:tc>
          <w:tcPr>
            <w:tcW w:type="dxa" w:w="3800"/>
            <w:shd w:fill="FFFFFF" w:val="clear"/>
            <w:tcMar>
              <w:top w:type="dxa" w:w="80"/>
              <w:left w:type="dxa" w:w="120"/>
              <w:bottom w:type="dxa" w:w="80"/>
              <w:right w:type="dxa" w:w="120"/>
            </w:tcMar>
          </w:tcPr>
          <w:p>
            <w:pPr>
              <w:jc w:val="left"/>
            </w:pPr>
            <w:r>
              <w:rPr>
                <w:b w:val="false"/>
                <w:bCs w:val="false"/>
                <w:color w:val="111111"/>
                <w:sz w:val="19"/>
                <w:szCs w:val="19"/>
              </w:rPr>
              <w:t xml:space="preserve">Gasta horas todo mês formatando planilha manualmente para importar na folha; erro gera reprocessamento e atraso de pagamento</w:t>
            </w:r>
          </w:p>
        </w:tc>
      </w:tr>
      <w:tr>
        <w:tc>
          <w:tcPr>
            <w:tcW w:type="dxa" w:w="2200"/>
            <w:shd w:fill="F2F4F7" w:val="clear"/>
            <w:tcMar>
              <w:top w:type="dxa" w:w="80"/>
              <w:left w:type="dxa" w:w="120"/>
              <w:bottom w:type="dxa" w:w="80"/>
              <w:right w:type="dxa" w:w="120"/>
            </w:tcMar>
          </w:tcPr>
          <w:p>
            <w:pPr>
              <w:jc w:val="left"/>
            </w:pPr>
            <w:r>
              <w:rPr>
                <w:b w:val="false"/>
                <w:bCs w:val="false"/>
                <w:color w:val="111111"/>
                <w:sz w:val="19"/>
                <w:szCs w:val="19"/>
              </w:rPr>
              <w:t xml:space="preserve">Escritório de Contabilidade / BPO</w:t>
            </w:r>
          </w:p>
        </w:tc>
        <w:tc>
          <w:tcPr>
            <w:tcW w:type="dxa" w:w="3600"/>
            <w:shd w:fill="F2F4F7" w:val="clear"/>
            <w:tcMar>
              <w:top w:type="dxa" w:w="80"/>
              <w:left w:type="dxa" w:w="120"/>
              <w:bottom w:type="dxa" w:w="80"/>
              <w:right w:type="dxa" w:w="120"/>
            </w:tcMar>
          </w:tcPr>
          <w:p>
            <w:pPr>
              <w:jc w:val="left"/>
            </w:pPr>
            <w:r>
              <w:rPr>
                <w:b w:val="false"/>
                <w:bCs w:val="false"/>
                <w:color w:val="111111"/>
                <w:sz w:val="19"/>
                <w:szCs w:val="19"/>
              </w:rPr>
              <w:t xml:space="preserve">Atende de 10 a 200 empresas-cliente, cada uma com layout de planilha próprio</w:t>
            </w:r>
          </w:p>
        </w:tc>
        <w:tc>
          <w:tcPr>
            <w:tcW w:type="dxa" w:w="3800"/>
            <w:shd w:fill="F2F4F7" w:val="clear"/>
            <w:tcMar>
              <w:top w:type="dxa" w:w="80"/>
              <w:left w:type="dxa" w:w="120"/>
              <w:bottom w:type="dxa" w:w="80"/>
              <w:right w:type="dxa" w:w="120"/>
            </w:tcMar>
          </w:tcPr>
          <w:p>
            <w:pPr>
              <w:jc w:val="left"/>
            </w:pPr>
            <w:r>
              <w:rPr>
                <w:b w:val="false"/>
                <w:bCs w:val="false"/>
                <w:color w:val="111111"/>
                <w:sz w:val="19"/>
                <w:szCs w:val="19"/>
              </w:rPr>
              <w:t xml:space="preserve">Precisa manter regras diferentes por cliente; hoje isso é feito com macro de Excel ou script individual mantido por um dev interno</w:t>
            </w:r>
          </w:p>
        </w:tc>
      </w:tr>
      <w:tr>
        <w:tc>
          <w:tcPr>
            <w:tcW w:type="dxa" w:w="2200"/>
            <w:shd w:fill="FFFFFF" w:val="clear"/>
            <w:tcMar>
              <w:top w:type="dxa" w:w="80"/>
              <w:left w:type="dxa" w:w="120"/>
              <w:bottom w:type="dxa" w:w="80"/>
              <w:right w:type="dxa" w:w="120"/>
            </w:tcMar>
          </w:tcPr>
          <w:p>
            <w:pPr>
              <w:jc w:val="left"/>
            </w:pPr>
            <w:r>
              <w:rPr>
                <w:b w:val="false"/>
                <w:bCs w:val="false"/>
                <w:color w:val="111111"/>
                <w:sz w:val="19"/>
                <w:szCs w:val="19"/>
              </w:rPr>
              <w:t xml:space="preserve">Gestor de RH (decisor de compra)</w:t>
            </w:r>
          </w:p>
        </w:tc>
        <w:tc>
          <w:tcPr>
            <w:tcW w:type="dxa" w:w="3600"/>
            <w:shd w:fill="FFFFFF" w:val="clear"/>
            <w:tcMar>
              <w:top w:type="dxa" w:w="80"/>
              <w:left w:type="dxa" w:w="120"/>
              <w:bottom w:type="dxa" w:w="80"/>
              <w:right w:type="dxa" w:w="120"/>
            </w:tcMar>
          </w:tcPr>
          <w:p>
            <w:pPr>
              <w:jc w:val="left"/>
            </w:pPr>
            <w:r>
              <w:rPr>
                <w:b w:val="false"/>
                <w:bCs w:val="false"/>
                <w:color w:val="111111"/>
                <w:sz w:val="19"/>
                <w:szCs w:val="19"/>
              </w:rPr>
              <w:t xml:space="preserve">Aprova ferramentas que reduzem retrabalho da equipe</w:t>
            </w:r>
          </w:p>
        </w:tc>
        <w:tc>
          <w:tcPr>
            <w:tcW w:type="dxa" w:w="3800"/>
            <w:shd w:fill="FFFFFF" w:val="clear"/>
            <w:tcMar>
              <w:top w:type="dxa" w:w="80"/>
              <w:left w:type="dxa" w:w="120"/>
              <w:bottom w:type="dxa" w:w="80"/>
              <w:right w:type="dxa" w:w="120"/>
            </w:tcMar>
          </w:tcPr>
          <w:p>
            <w:pPr>
              <w:jc w:val="left"/>
            </w:pPr>
            <w:r>
              <w:rPr>
                <w:b w:val="false"/>
                <w:bCs w:val="false"/>
                <w:color w:val="111111"/>
                <w:sz w:val="19"/>
                <w:szCs w:val="19"/>
              </w:rPr>
              <w:t xml:space="preserve">Precisa de auditoria e segurança — dado de folha é sensível e cai em LGPD</w:t>
            </w:r>
          </w:p>
        </w:tc>
      </w:tr>
    </w:tbl>
    <w:p>
      <w:pPr>
        <w:spacing w:after="140" w:line="300"/>
      </w:pPr>
      <w:r>
        <w:rPr>
          <w:sz w:val="21"/>
          <w:szCs w:val="21"/>
        </w:rPr>
        <w:t xml:space="preserve">Prioridade comercial: o BPO/escritório de contabilidade é o ICP mais forte, porque multiplica o valor por cliente atendido (um único assinante gera múltiplos "layouts configurados", justificando plano superior) — é o motor de expansão de receita (upsell natural por nº de clientes geridos).</w:t>
      </w:r>
    </w:p>
    <w:p>
      <w:pPr>
        <w:pStyle w:val="Heading1"/>
        <w:pBdr>
          <w:bottom w:val="single" w:color="1B2A4A" w:sz="6" w:space="4"/>
        </w:pBdr>
        <w:spacing w:after="200" w:before="400"/>
      </w:pPr>
      <w:r>
        <w:rPr>
          <w:b/>
          <w:bCs/>
          <w:color w:val="1B2A4A"/>
          <w:sz w:val="30"/>
          <w:szCs w:val="30"/>
        </w:rPr>
        <w:t xml:space="preserve">4. Modelo de Negócio</w:t>
      </w:r>
    </w:p>
    <w:p>
      <w:pPr>
        <w:pStyle w:val="Heading2"/>
        <w:spacing w:after="120" w:before="300"/>
      </w:pPr>
      <w:r>
        <w:rPr>
          <w:b/>
          <w:bCs/>
          <w:color w:val="2E6F6E"/>
          <w:sz w:val="24"/>
          <w:szCs w:val="24"/>
        </w:rPr>
        <w:t xml:space="preserve">4.1 Planos e Precificação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600"/>
        <w:gridCol w:w="1600"/>
      </w:tblGrid>
      <w:tr>
        <w:trPr>
          <w:tblHeader/>
        </w:trPr>
        <w:tc>
          <w:tcPr>
            <w:tcW w:type="dxa" w:w="2000"/>
            <w:shd w:fill="1B2A4A" w:val="clear"/>
            <w:tcMar>
              <w:top w:type="dxa" w:w="80"/>
              <w:left w:type="dxa" w:w="120"/>
              <w:bottom w:type="dxa" w:w="80"/>
              <w:right w:type="dxa" w:w="120"/>
            </w:tcMar>
          </w:tcPr>
          <w:p>
            <w:pPr>
              <w:jc w:val="left"/>
            </w:pPr>
            <w:r>
              <w:rPr>
                <w:b/>
                <w:bCs/>
                <w:color w:val="FFFFFF"/>
                <w:sz w:val="19"/>
                <w:szCs w:val="19"/>
              </w:rPr>
              <w:t xml:space="preserve">Plano</w:t>
            </w:r>
          </w:p>
        </w:tc>
        <w:tc>
          <w:tcPr>
            <w:tcW w:type="dxa" w:w="2400"/>
            <w:shd w:fill="1B2A4A" w:val="clear"/>
            <w:tcMar>
              <w:top w:type="dxa" w:w="80"/>
              <w:left w:type="dxa" w:w="120"/>
              <w:bottom w:type="dxa" w:w="80"/>
              <w:right w:type="dxa" w:w="120"/>
            </w:tcMar>
          </w:tcPr>
          <w:p>
            <w:pPr>
              <w:jc w:val="left"/>
            </w:pPr>
            <w:r>
              <w:rPr>
                <w:b/>
                <w:bCs/>
                <w:color w:val="FFFFFF"/>
                <w:sz w:val="19"/>
                <w:szCs w:val="19"/>
              </w:rPr>
              <w:t xml:space="preserve">Público</w:t>
            </w:r>
          </w:p>
        </w:tc>
        <w:tc>
          <w:tcPr>
            <w:tcW w:type="dxa" w:w="3600"/>
            <w:shd w:fill="1B2A4A" w:val="clear"/>
            <w:tcMar>
              <w:top w:type="dxa" w:w="80"/>
              <w:left w:type="dxa" w:w="120"/>
              <w:bottom w:type="dxa" w:w="80"/>
              <w:right w:type="dxa" w:w="120"/>
            </w:tcMar>
          </w:tcPr>
          <w:p>
            <w:pPr>
              <w:jc w:val="left"/>
            </w:pPr>
            <w:r>
              <w:rPr>
                <w:b/>
                <w:bCs/>
                <w:color w:val="FFFFFF"/>
                <w:sz w:val="19"/>
                <w:szCs w:val="19"/>
              </w:rPr>
              <w:t xml:space="preserve">Inclui</w:t>
            </w:r>
          </w:p>
        </w:tc>
        <w:tc>
          <w:tcPr>
            <w:tcW w:type="dxa" w:w="1600"/>
            <w:shd w:fill="1B2A4A" w:val="clear"/>
            <w:tcMar>
              <w:top w:type="dxa" w:w="80"/>
              <w:left w:type="dxa" w:w="120"/>
              <w:bottom w:type="dxa" w:w="80"/>
              <w:right w:type="dxa" w:w="120"/>
            </w:tcMar>
          </w:tcPr>
          <w:p>
            <w:pPr>
              <w:jc w:val="left"/>
            </w:pPr>
            <w:r>
              <w:rPr>
                <w:b/>
                <w:bCs/>
                <w:color w:val="FFFFFF"/>
                <w:sz w:val="19"/>
                <w:szCs w:val="19"/>
              </w:rPr>
              <w:t xml:space="preserve">Preço sugerido*</w:t>
            </w:r>
          </w:p>
        </w:tc>
      </w:tr>
      <w:tr>
        <w:tc>
          <w:tcPr>
            <w:tcW w:type="dxa" w:w="2000"/>
            <w:shd w:fill="FFFFFF" w:val="clear"/>
            <w:tcMar>
              <w:top w:type="dxa" w:w="80"/>
              <w:left w:type="dxa" w:w="120"/>
              <w:bottom w:type="dxa" w:w="80"/>
              <w:right w:type="dxa" w:w="120"/>
            </w:tcMar>
          </w:tcPr>
          <w:p>
            <w:pPr>
              <w:jc w:val="left"/>
            </w:pPr>
            <w:r>
              <w:rPr>
                <w:b w:val="false"/>
                <w:bCs w:val="false"/>
                <w:color w:val="111111"/>
                <w:sz w:val="19"/>
                <w:szCs w:val="19"/>
              </w:rPr>
              <w:t xml:space="preserve">Starter</w:t>
            </w:r>
          </w:p>
        </w:tc>
        <w:tc>
          <w:tcPr>
            <w:tcW w:type="dxa" w:w="2400"/>
            <w:shd w:fill="FFFFFF" w:val="clear"/>
            <w:tcMar>
              <w:top w:type="dxa" w:w="80"/>
              <w:left w:type="dxa" w:w="120"/>
              <w:bottom w:type="dxa" w:w="80"/>
              <w:right w:type="dxa" w:w="120"/>
            </w:tcMar>
          </w:tcPr>
          <w:p>
            <w:pPr>
              <w:jc w:val="left"/>
            </w:pPr>
            <w:r>
              <w:rPr>
                <w:b w:val="false"/>
                <w:bCs w:val="false"/>
                <w:color w:val="111111"/>
                <w:sz w:val="19"/>
                <w:szCs w:val="19"/>
              </w:rPr>
              <w:t xml:space="preserve">Empresa única</w:t>
            </w:r>
          </w:p>
        </w:tc>
        <w:tc>
          <w:tcPr>
            <w:tcW w:type="dxa" w:w="3600"/>
            <w:shd w:fill="FFFFFF" w:val="clear"/>
            <w:tcMar>
              <w:top w:type="dxa" w:w="80"/>
              <w:left w:type="dxa" w:w="120"/>
              <w:bottom w:type="dxa" w:w="80"/>
              <w:right w:type="dxa" w:w="120"/>
            </w:tcMar>
          </w:tcPr>
          <w:p>
            <w:pPr>
              <w:jc w:val="left"/>
            </w:pPr>
            <w:r>
              <w:rPr>
                <w:b w:val="false"/>
                <w:bCs w:val="false"/>
                <w:color w:val="111111"/>
                <w:sz w:val="19"/>
                <w:szCs w:val="19"/>
              </w:rPr>
              <w:t xml:space="preserve">1 layout configurado, até 30 conversões/mês, 1 usuário</w:t>
            </w:r>
          </w:p>
        </w:tc>
        <w:tc>
          <w:tcPr>
            <w:tcW w:type="dxa" w:w="1600"/>
            <w:shd w:fill="FFFFFF" w:val="clear"/>
            <w:tcMar>
              <w:top w:type="dxa" w:w="80"/>
              <w:left w:type="dxa" w:w="120"/>
              <w:bottom w:type="dxa" w:w="80"/>
              <w:right w:type="dxa" w:w="120"/>
            </w:tcMar>
          </w:tcPr>
          <w:p>
            <w:pPr>
              <w:jc w:val="left"/>
            </w:pPr>
            <w:r>
              <w:rPr>
                <w:b w:val="false"/>
                <w:bCs w:val="false"/>
                <w:color w:val="111111"/>
                <w:sz w:val="19"/>
                <w:szCs w:val="19"/>
              </w:rPr>
              <w:t xml:space="preserve">R$ 149/mês</w:t>
            </w:r>
          </w:p>
        </w:tc>
      </w:tr>
      <w:tr>
        <w:tc>
          <w:tcPr>
            <w:tcW w:type="dxa" w:w="2000"/>
            <w:shd w:fill="F2F4F7" w:val="clear"/>
            <w:tcMar>
              <w:top w:type="dxa" w:w="80"/>
              <w:left w:type="dxa" w:w="120"/>
              <w:bottom w:type="dxa" w:w="80"/>
              <w:right w:type="dxa" w:w="120"/>
            </w:tcMar>
          </w:tcPr>
          <w:p>
            <w:pPr>
              <w:jc w:val="left"/>
            </w:pPr>
            <w:r>
              <w:rPr>
                <w:b w:val="false"/>
                <w:bCs w:val="false"/>
                <w:color w:val="111111"/>
                <w:sz w:val="19"/>
                <w:szCs w:val="19"/>
              </w:rPr>
              <w:t xml:space="preserve">Professional</w:t>
            </w:r>
          </w:p>
        </w:tc>
        <w:tc>
          <w:tcPr>
            <w:tcW w:type="dxa" w:w="2400"/>
            <w:shd w:fill="F2F4F7" w:val="clear"/>
            <w:tcMar>
              <w:top w:type="dxa" w:w="80"/>
              <w:left w:type="dxa" w:w="120"/>
              <w:bottom w:type="dxa" w:w="80"/>
              <w:right w:type="dxa" w:w="120"/>
            </w:tcMar>
          </w:tcPr>
          <w:p>
            <w:pPr>
              <w:jc w:val="left"/>
            </w:pPr>
            <w:r>
              <w:rPr>
                <w:b w:val="false"/>
                <w:bCs w:val="false"/>
                <w:color w:val="111111"/>
                <w:sz w:val="19"/>
                <w:szCs w:val="19"/>
              </w:rPr>
              <w:t xml:space="preserve">Escritório pequeno</w:t>
            </w:r>
          </w:p>
        </w:tc>
        <w:tc>
          <w:tcPr>
            <w:tcW w:type="dxa" w:w="3600"/>
            <w:shd w:fill="F2F4F7" w:val="clear"/>
            <w:tcMar>
              <w:top w:type="dxa" w:w="80"/>
              <w:left w:type="dxa" w:w="120"/>
              <w:bottom w:type="dxa" w:w="80"/>
              <w:right w:type="dxa" w:w="120"/>
            </w:tcMar>
          </w:tcPr>
          <w:p>
            <w:pPr>
              <w:jc w:val="left"/>
            </w:pPr>
            <w:r>
              <w:rPr>
                <w:b w:val="false"/>
                <w:bCs w:val="false"/>
                <w:color w:val="111111"/>
                <w:sz w:val="19"/>
                <w:szCs w:val="19"/>
              </w:rPr>
              <w:t xml:space="preserve">Até 10 layouts (10 clientes), 300 conversões/mês, 5 usuários</w:t>
            </w:r>
          </w:p>
        </w:tc>
        <w:tc>
          <w:tcPr>
            <w:tcW w:type="dxa" w:w="1600"/>
            <w:shd w:fill="F2F4F7" w:val="clear"/>
            <w:tcMar>
              <w:top w:type="dxa" w:w="80"/>
              <w:left w:type="dxa" w:w="120"/>
              <w:bottom w:type="dxa" w:w="80"/>
              <w:right w:type="dxa" w:w="120"/>
            </w:tcMar>
          </w:tcPr>
          <w:p>
            <w:pPr>
              <w:jc w:val="left"/>
            </w:pPr>
            <w:r>
              <w:rPr>
                <w:b w:val="false"/>
                <w:bCs w:val="false"/>
                <w:color w:val="111111"/>
                <w:sz w:val="19"/>
                <w:szCs w:val="19"/>
              </w:rPr>
              <w:t xml:space="preserve">R$ 490/mês</w:t>
            </w:r>
          </w:p>
        </w:tc>
      </w:tr>
      <w:tr>
        <w:tc>
          <w:tcPr>
            <w:tcW w:type="dxa" w:w="2000"/>
            <w:shd w:fill="FFFFFF" w:val="clear"/>
            <w:tcMar>
              <w:top w:type="dxa" w:w="80"/>
              <w:left w:type="dxa" w:w="120"/>
              <w:bottom w:type="dxa" w:w="80"/>
              <w:right w:type="dxa" w:w="120"/>
            </w:tcMar>
          </w:tcPr>
          <w:p>
            <w:pPr>
              <w:jc w:val="left"/>
            </w:pPr>
            <w:r>
              <w:rPr>
                <w:b w:val="false"/>
                <w:bCs w:val="false"/>
                <w:color w:val="111111"/>
                <w:sz w:val="19"/>
                <w:szCs w:val="19"/>
              </w:rPr>
              <w:t xml:space="preserve">Business</w:t>
            </w:r>
          </w:p>
        </w:tc>
        <w:tc>
          <w:tcPr>
            <w:tcW w:type="dxa" w:w="2400"/>
            <w:shd w:fill="FFFFFF" w:val="clear"/>
            <w:tcMar>
              <w:top w:type="dxa" w:w="80"/>
              <w:left w:type="dxa" w:w="120"/>
              <w:bottom w:type="dxa" w:w="80"/>
              <w:right w:type="dxa" w:w="120"/>
            </w:tcMar>
          </w:tcPr>
          <w:p>
            <w:pPr>
              <w:jc w:val="left"/>
            </w:pPr>
            <w:r>
              <w:rPr>
                <w:b w:val="false"/>
                <w:bCs w:val="false"/>
                <w:color w:val="111111"/>
                <w:sz w:val="19"/>
                <w:szCs w:val="19"/>
              </w:rPr>
              <w:t xml:space="preserve">BPO / contabilidade média-grande</w:t>
            </w:r>
          </w:p>
        </w:tc>
        <w:tc>
          <w:tcPr>
            <w:tcW w:type="dxa" w:w="3600"/>
            <w:shd w:fill="FFFFFF" w:val="clear"/>
            <w:tcMar>
              <w:top w:type="dxa" w:w="80"/>
              <w:left w:type="dxa" w:w="120"/>
              <w:bottom w:type="dxa" w:w="80"/>
              <w:right w:type="dxa" w:w="120"/>
            </w:tcMar>
          </w:tcPr>
          <w:p>
            <w:pPr>
              <w:jc w:val="left"/>
            </w:pPr>
            <w:r>
              <w:rPr>
                <w:b w:val="false"/>
                <w:bCs w:val="false"/>
                <w:color w:val="111111"/>
                <w:sz w:val="19"/>
                <w:szCs w:val="19"/>
              </w:rPr>
              <w:t xml:space="preserve">Layouts ilimitados, conversões ilimitadas, usuários ilimitados, log de auditoria estendido, SLA de suporte</w:t>
            </w:r>
          </w:p>
        </w:tc>
        <w:tc>
          <w:tcPr>
            <w:tcW w:type="dxa" w:w="1600"/>
            <w:shd w:fill="FFFFFF" w:val="clear"/>
            <w:tcMar>
              <w:top w:type="dxa" w:w="80"/>
              <w:left w:type="dxa" w:w="120"/>
              <w:bottom w:type="dxa" w:w="80"/>
              <w:right w:type="dxa" w:w="120"/>
            </w:tcMar>
          </w:tcPr>
          <w:p>
            <w:pPr>
              <w:jc w:val="left"/>
            </w:pPr>
            <w:r>
              <w:rPr>
                <w:b w:val="false"/>
                <w:bCs w:val="false"/>
                <w:color w:val="111111"/>
                <w:sz w:val="19"/>
                <w:szCs w:val="19"/>
              </w:rPr>
              <w:t xml:space="preserve">R$ 1.290/mês</w:t>
            </w:r>
          </w:p>
        </w:tc>
      </w:tr>
    </w:tbl>
    <w:p>
      <w:pPr>
        <w:spacing w:after="140" w:line="300"/>
      </w:pPr>
      <w:r>
        <w:rPr>
          <w:sz w:val="21"/>
          <w:szCs w:val="21"/>
        </w:rPr>
        <w:t xml:space="preserve">*Valores de referência para validação de mercado — devem ser testados com 10–15 conversas de venda antes de travar tabela pública. Não travar preço sem validação com o ICP prioritário (BPOs).</w:t>
      </w:r>
    </w:p>
    <w:p>
      <w:pPr>
        <w:pStyle w:val="Heading2"/>
        <w:spacing w:after="120" w:before="300"/>
      </w:pPr>
      <w:r>
        <w:rPr>
          <w:b/>
          <w:bCs/>
          <w:color w:val="2E6F6E"/>
          <w:sz w:val="24"/>
          <w:szCs w:val="24"/>
        </w:rPr>
        <w:t xml:space="preserve">4.2 Métrica de Cobrança</w:t>
      </w:r>
    </w:p>
    <w:p>
      <w:pPr>
        <w:spacing w:after="140" w:line="300"/>
      </w:pPr>
      <w:r>
        <w:rPr>
          <w:sz w:val="21"/>
          <w:szCs w:val="21"/>
        </w:rPr>
        <w:t xml:space="preserve">Cobrança híbrida: valor fixo por plano + excedente por conversão acima do limite (evita undercharging de clientes de alto volume e dá previsibilidade para os demais). Motivo prático: sem isso, o Business vira teto artificial e você deixa dinheiro na mesa com contas grandes.</w:t>
      </w:r>
    </w:p>
    <w:p>
      <w:pPr>
        <w:pStyle w:val="Heading2"/>
        <w:spacing w:after="120" w:before="300"/>
      </w:pPr>
      <w:r>
        <w:rPr>
          <w:b/>
          <w:bCs/>
          <w:color w:val="2E6F6E"/>
          <w:sz w:val="24"/>
          <w:szCs w:val="24"/>
        </w:rPr>
        <w:t xml:space="preserve">4.3 Trial e Ativação</w:t>
      </w:r>
    </w:p>
    <w:p>
      <w:pPr>
        <w:spacing w:after="140" w:line="300"/>
      </w:pPr>
      <w:r>
        <w:rPr>
          <w:sz w:val="21"/>
          <w:szCs w:val="21"/>
        </w:rPr>
        <w:t xml:space="preserve">Trial de 14 dias sem cartão, limitado a 1 layout e 15 conversões — suficiente para o cliente configurar seu layout real e validar em produção antes de pagar. Ativação (momento "aha") = primeira conversão bem-sucedida com CSV baixado.</w:t>
      </w:r>
    </w:p>
    <w:p>
      <w:pPr>
        <w:pStyle w:val="Heading1"/>
        <w:pBdr>
          <w:bottom w:val="single" w:color="1B2A4A" w:sz="6" w:space="4"/>
        </w:pBdr>
        <w:spacing w:after="200" w:before="400"/>
      </w:pPr>
      <w:r>
        <w:rPr>
          <w:b/>
          <w:bCs/>
          <w:color w:val="1B2A4A"/>
          <w:sz w:val="30"/>
          <w:szCs w:val="30"/>
        </w:rPr>
        <w:t xml:space="preserve">5. Métricas de Sucesso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00"/>
      </w:tblGrid>
      <w:tr>
        <w:trPr>
          <w:tblHeader/>
        </w:trPr>
        <w:tc>
          <w:tcPr>
            <w:tcW w:type="dxa" w:w="3000"/>
            <w:shd w:fill="1B2A4A" w:val="clear"/>
            <w:tcMar>
              <w:top w:type="dxa" w:w="80"/>
              <w:left w:type="dxa" w:w="120"/>
              <w:bottom w:type="dxa" w:w="80"/>
              <w:right w:type="dxa" w:w="120"/>
            </w:tcMar>
          </w:tcPr>
          <w:p>
            <w:pPr>
              <w:jc w:val="left"/>
            </w:pPr>
            <w:r>
              <w:rPr>
                <w:b/>
                <w:bCs/>
                <w:color w:val="FFFFFF"/>
                <w:sz w:val="19"/>
                <w:szCs w:val="19"/>
              </w:rPr>
              <w:t xml:space="preserve">Métrica</w:t>
            </w:r>
          </w:p>
        </w:tc>
        <w:tc>
          <w:tcPr>
            <w:tcW w:type="dxa" w:w="3200"/>
            <w:shd w:fill="1B2A4A" w:val="clear"/>
            <w:tcMar>
              <w:top w:type="dxa" w:w="80"/>
              <w:left w:type="dxa" w:w="120"/>
              <w:bottom w:type="dxa" w:w="80"/>
              <w:right w:type="dxa" w:w="120"/>
            </w:tcMar>
          </w:tcPr>
          <w:p>
            <w:pPr>
              <w:jc w:val="left"/>
            </w:pPr>
            <w:r>
              <w:rPr>
                <w:b/>
                <w:bCs/>
                <w:color w:val="FFFFFF"/>
                <w:sz w:val="19"/>
                <w:szCs w:val="19"/>
              </w:rPr>
              <w:t xml:space="preserve">Definição</w:t>
            </w:r>
          </w:p>
        </w:tc>
        <w:tc>
          <w:tcPr>
            <w:tcW w:type="dxa" w:w="3400"/>
            <w:shd w:fill="1B2A4A" w:val="clear"/>
            <w:tcMar>
              <w:top w:type="dxa" w:w="80"/>
              <w:left w:type="dxa" w:w="120"/>
              <w:bottom w:type="dxa" w:w="80"/>
              <w:right w:type="dxa" w:w="120"/>
            </w:tcMar>
          </w:tcPr>
          <w:p>
            <w:pPr>
              <w:jc w:val="left"/>
            </w:pPr>
            <w:r>
              <w:rPr>
                <w:b/>
                <w:bCs/>
                <w:color w:val="FFFFFF"/>
                <w:sz w:val="19"/>
                <w:szCs w:val="19"/>
              </w:rPr>
              <w:t xml:space="preserve">Meta inicial (6 meses)</w:t>
            </w:r>
          </w:p>
        </w:tc>
      </w:tr>
      <w:tr>
        <w:tc>
          <w:tcPr>
            <w:tcW w:type="dxa" w:w="3000"/>
            <w:shd w:fill="FFFFFF" w:val="clear"/>
            <w:tcMar>
              <w:top w:type="dxa" w:w="80"/>
              <w:left w:type="dxa" w:w="120"/>
              <w:bottom w:type="dxa" w:w="80"/>
              <w:right w:type="dxa" w:w="120"/>
            </w:tcMar>
          </w:tcPr>
          <w:p>
            <w:pPr>
              <w:jc w:val="left"/>
            </w:pPr>
            <w:r>
              <w:rPr>
                <w:b w:val="false"/>
                <w:bCs w:val="false"/>
                <w:color w:val="111111"/>
                <w:sz w:val="19"/>
                <w:szCs w:val="19"/>
              </w:rPr>
              <w:t xml:space="preserve">Ativação</w:t>
            </w:r>
          </w:p>
        </w:tc>
        <w:tc>
          <w:tcPr>
            <w:tcW w:type="dxa" w:w="3200"/>
            <w:shd w:fill="FFFFFF" w:val="clear"/>
            <w:tcMar>
              <w:top w:type="dxa" w:w="80"/>
              <w:left w:type="dxa" w:w="120"/>
              <w:bottom w:type="dxa" w:w="80"/>
              <w:right w:type="dxa" w:w="120"/>
            </w:tcMar>
          </w:tcPr>
          <w:p>
            <w:pPr>
              <w:jc w:val="left"/>
            </w:pPr>
            <w:r>
              <w:rPr>
                <w:b w:val="false"/>
                <w:bCs w:val="false"/>
                <w:color w:val="111111"/>
                <w:sz w:val="19"/>
                <w:szCs w:val="19"/>
              </w:rPr>
              <w:t xml:space="preserve">% de trials que completam 1ª conversão em 7 dias</w:t>
            </w:r>
          </w:p>
        </w:tc>
        <w:tc>
          <w:tcPr>
            <w:tcW w:type="dxa" w:w="3400"/>
            <w:shd w:fill="FFFFFF" w:val="clear"/>
            <w:tcMar>
              <w:top w:type="dxa" w:w="80"/>
              <w:left w:type="dxa" w:w="120"/>
              <w:bottom w:type="dxa" w:w="80"/>
              <w:right w:type="dxa" w:w="120"/>
            </w:tcMar>
          </w:tcPr>
          <w:p>
            <w:pPr>
              <w:jc w:val="left"/>
            </w:pPr>
            <w:r>
              <w:rPr>
                <w:b w:val="false"/>
                <w:bCs w:val="false"/>
                <w:color w:val="111111"/>
                <w:sz w:val="19"/>
                <w:szCs w:val="19"/>
              </w:rPr>
              <w:t xml:space="preserve">≥ 60%</w:t>
            </w:r>
          </w:p>
        </w:tc>
      </w:tr>
      <w:tr>
        <w:tc>
          <w:tcPr>
            <w:tcW w:type="dxa" w:w="3000"/>
            <w:shd w:fill="F2F4F7" w:val="clear"/>
            <w:tcMar>
              <w:top w:type="dxa" w:w="80"/>
              <w:left w:type="dxa" w:w="120"/>
              <w:bottom w:type="dxa" w:w="80"/>
              <w:right w:type="dxa" w:w="120"/>
            </w:tcMar>
          </w:tcPr>
          <w:p>
            <w:pPr>
              <w:jc w:val="left"/>
            </w:pPr>
            <w:r>
              <w:rPr>
                <w:b w:val="false"/>
                <w:bCs w:val="false"/>
                <w:color w:val="111111"/>
                <w:sz w:val="19"/>
                <w:szCs w:val="19"/>
              </w:rPr>
              <w:t xml:space="preserve">Retenção mensal</w:t>
            </w:r>
          </w:p>
        </w:tc>
        <w:tc>
          <w:tcPr>
            <w:tcW w:type="dxa" w:w="3200"/>
            <w:shd w:fill="F2F4F7" w:val="clear"/>
            <w:tcMar>
              <w:top w:type="dxa" w:w="80"/>
              <w:left w:type="dxa" w:w="120"/>
              <w:bottom w:type="dxa" w:w="80"/>
              <w:right w:type="dxa" w:w="120"/>
            </w:tcMar>
          </w:tcPr>
          <w:p>
            <w:pPr>
              <w:jc w:val="left"/>
            </w:pPr>
            <w:r>
              <w:rPr>
                <w:b w:val="false"/>
                <w:bCs w:val="false"/>
                <w:color w:val="111111"/>
                <w:sz w:val="19"/>
                <w:szCs w:val="19"/>
              </w:rPr>
              <w:t xml:space="preserve">% de tenants pagantes que convertem pelo menos 1x no mês</w:t>
            </w:r>
          </w:p>
        </w:tc>
        <w:tc>
          <w:tcPr>
            <w:tcW w:type="dxa" w:w="3400"/>
            <w:shd w:fill="F2F4F7" w:val="clear"/>
            <w:tcMar>
              <w:top w:type="dxa" w:w="80"/>
              <w:left w:type="dxa" w:w="120"/>
              <w:bottom w:type="dxa" w:w="80"/>
              <w:right w:type="dxa" w:w="120"/>
            </w:tcMar>
          </w:tcPr>
          <w:p>
            <w:pPr>
              <w:jc w:val="left"/>
            </w:pPr>
            <w:r>
              <w:rPr>
                <w:b w:val="false"/>
                <w:bCs w:val="false"/>
                <w:color w:val="111111"/>
                <w:sz w:val="19"/>
                <w:szCs w:val="19"/>
              </w:rPr>
              <w:t xml:space="preserve">≥ 85%</w:t>
            </w:r>
          </w:p>
        </w:tc>
      </w:tr>
      <w:tr>
        <w:tc>
          <w:tcPr>
            <w:tcW w:type="dxa" w:w="3000"/>
            <w:shd w:fill="FFFFFF" w:val="clear"/>
            <w:tcMar>
              <w:top w:type="dxa" w:w="80"/>
              <w:left w:type="dxa" w:w="120"/>
              <w:bottom w:type="dxa" w:w="80"/>
              <w:right w:type="dxa" w:w="120"/>
            </w:tcMar>
          </w:tcPr>
          <w:p>
            <w:pPr>
              <w:jc w:val="left"/>
            </w:pPr>
            <w:r>
              <w:rPr>
                <w:b w:val="false"/>
                <w:bCs w:val="false"/>
                <w:color w:val="111111"/>
                <w:sz w:val="19"/>
                <w:szCs w:val="19"/>
              </w:rPr>
              <w:t xml:space="preserve">Churn</w:t>
            </w:r>
          </w:p>
        </w:tc>
        <w:tc>
          <w:tcPr>
            <w:tcW w:type="dxa" w:w="3200"/>
            <w:shd w:fill="FFFFFF" w:val="clear"/>
            <w:tcMar>
              <w:top w:type="dxa" w:w="80"/>
              <w:left w:type="dxa" w:w="120"/>
              <w:bottom w:type="dxa" w:w="80"/>
              <w:right w:type="dxa" w:w="120"/>
            </w:tcMar>
          </w:tcPr>
          <w:p>
            <w:pPr>
              <w:jc w:val="left"/>
            </w:pPr>
            <w:r>
              <w:rPr>
                <w:b w:val="false"/>
                <w:bCs w:val="false"/>
                <w:color w:val="111111"/>
                <w:sz w:val="19"/>
                <w:szCs w:val="19"/>
              </w:rPr>
              <w:t xml:space="preserve">Cancelamentos / assinantes ativos no mês</w:t>
            </w:r>
          </w:p>
        </w:tc>
        <w:tc>
          <w:tcPr>
            <w:tcW w:type="dxa" w:w="3400"/>
            <w:shd w:fill="FFFFFF" w:val="clear"/>
            <w:tcMar>
              <w:top w:type="dxa" w:w="80"/>
              <w:left w:type="dxa" w:w="120"/>
              <w:bottom w:type="dxa" w:w="80"/>
              <w:right w:type="dxa" w:w="120"/>
            </w:tcMar>
          </w:tcPr>
          <w:p>
            <w:pPr>
              <w:jc w:val="left"/>
            </w:pPr>
            <w:r>
              <w:rPr>
                <w:b w:val="false"/>
                <w:bCs w:val="false"/>
                <w:color w:val="111111"/>
                <w:sz w:val="19"/>
                <w:szCs w:val="19"/>
              </w:rPr>
              <w:t xml:space="preserve">≤ 5% mensal</w:t>
            </w:r>
          </w:p>
        </w:tc>
      </w:tr>
      <w:tr>
        <w:tc>
          <w:tcPr>
            <w:tcW w:type="dxa" w:w="3000"/>
            <w:shd w:fill="F2F4F7" w:val="clear"/>
            <w:tcMar>
              <w:top w:type="dxa" w:w="80"/>
              <w:left w:type="dxa" w:w="120"/>
              <w:bottom w:type="dxa" w:w="80"/>
              <w:right w:type="dxa" w:w="120"/>
            </w:tcMar>
          </w:tcPr>
          <w:p>
            <w:pPr>
              <w:jc w:val="left"/>
            </w:pPr>
            <w:r>
              <w:rPr>
                <w:b w:val="false"/>
                <w:bCs w:val="false"/>
                <w:color w:val="111111"/>
                <w:sz w:val="19"/>
                <w:szCs w:val="19"/>
              </w:rPr>
              <w:t xml:space="preserve">Tempo de configuração</w:t>
            </w:r>
          </w:p>
        </w:tc>
        <w:tc>
          <w:tcPr>
            <w:tcW w:type="dxa" w:w="3200"/>
            <w:shd w:fill="F2F4F7" w:val="clear"/>
            <w:tcMar>
              <w:top w:type="dxa" w:w="80"/>
              <w:left w:type="dxa" w:w="120"/>
              <w:bottom w:type="dxa" w:w="80"/>
              <w:right w:type="dxa" w:w="120"/>
            </w:tcMar>
          </w:tcPr>
          <w:p>
            <w:pPr>
              <w:jc w:val="left"/>
            </w:pPr>
            <w:r>
              <w:rPr>
                <w:b w:val="false"/>
                <w:bCs w:val="false"/>
                <w:color w:val="111111"/>
                <w:sz w:val="19"/>
                <w:szCs w:val="19"/>
              </w:rPr>
              <w:t xml:space="preserve">Tempo médio para cadastrar 1 layout novo</w:t>
            </w:r>
          </w:p>
        </w:tc>
        <w:tc>
          <w:tcPr>
            <w:tcW w:type="dxa" w:w="3400"/>
            <w:shd w:fill="F2F4F7" w:val="clear"/>
            <w:tcMar>
              <w:top w:type="dxa" w:w="80"/>
              <w:left w:type="dxa" w:w="120"/>
              <w:bottom w:type="dxa" w:w="80"/>
              <w:right w:type="dxa" w:w="120"/>
            </w:tcMar>
          </w:tcPr>
          <w:p>
            <w:pPr>
              <w:jc w:val="left"/>
            </w:pPr>
            <w:r>
              <w:rPr>
                <w:b w:val="false"/>
                <w:bCs w:val="false"/>
                <w:color w:val="111111"/>
                <w:sz w:val="19"/>
                <w:szCs w:val="19"/>
              </w:rPr>
              <w:t xml:space="preserve">≤ 20 minutos</w:t>
            </w:r>
          </w:p>
        </w:tc>
      </w:tr>
      <w:tr>
        <w:tc>
          <w:tcPr>
            <w:tcW w:type="dxa" w:w="3000"/>
            <w:shd w:fill="FFFFFF" w:val="clear"/>
            <w:tcMar>
              <w:top w:type="dxa" w:w="80"/>
              <w:left w:type="dxa" w:w="120"/>
              <w:bottom w:type="dxa" w:w="80"/>
              <w:right w:type="dxa" w:w="120"/>
            </w:tcMar>
          </w:tcPr>
          <w:p>
            <w:pPr>
              <w:jc w:val="left"/>
            </w:pPr>
            <w:r>
              <w:rPr>
                <w:b w:val="false"/>
                <w:bCs w:val="false"/>
                <w:color w:val="111111"/>
                <w:sz w:val="19"/>
                <w:szCs w:val="19"/>
              </w:rPr>
              <w:t xml:space="preserve">Taxa de erro de conversão</w:t>
            </w:r>
          </w:p>
        </w:tc>
        <w:tc>
          <w:tcPr>
            <w:tcW w:type="dxa" w:w="3200"/>
            <w:shd w:fill="FFFFFF" w:val="clear"/>
            <w:tcMar>
              <w:top w:type="dxa" w:w="80"/>
              <w:left w:type="dxa" w:w="120"/>
              <w:bottom w:type="dxa" w:w="80"/>
              <w:right w:type="dxa" w:w="120"/>
            </w:tcMar>
          </w:tcPr>
          <w:p>
            <w:pPr>
              <w:jc w:val="left"/>
            </w:pPr>
            <w:r>
              <w:rPr>
                <w:b w:val="false"/>
                <w:bCs w:val="false"/>
                <w:color w:val="111111"/>
                <w:sz w:val="19"/>
                <w:szCs w:val="19"/>
              </w:rPr>
              <w:t xml:space="preserve">% de conversões que terminam em erro não tratado</w:t>
            </w:r>
          </w:p>
        </w:tc>
        <w:tc>
          <w:tcPr>
            <w:tcW w:type="dxa" w:w="3400"/>
            <w:shd w:fill="FFFFFF" w:val="clear"/>
            <w:tcMar>
              <w:top w:type="dxa" w:w="80"/>
              <w:left w:type="dxa" w:w="120"/>
              <w:bottom w:type="dxa" w:w="80"/>
              <w:right w:type="dxa" w:w="120"/>
            </w:tcMar>
          </w:tcPr>
          <w:p>
            <w:pPr>
              <w:jc w:val="left"/>
            </w:pPr>
            <w:r>
              <w:rPr>
                <w:b w:val="false"/>
                <w:bCs w:val="false"/>
                <w:color w:val="111111"/>
                <w:sz w:val="19"/>
                <w:szCs w:val="19"/>
              </w:rPr>
              <w:t xml:space="preserve">≤ 2%</w:t>
            </w:r>
          </w:p>
        </w:tc>
      </w:tr>
    </w:tbl>
    <w:p>
      <w:pPr>
        <w:pStyle w:val="Heading1"/>
        <w:pBdr>
          <w:bottom w:val="single" w:color="1B2A4A" w:sz="6" w:space="4"/>
        </w:pBdr>
        <w:spacing w:after="200" w:before="400"/>
      </w:pPr>
      <w:r>
        <w:rPr>
          <w:b/>
          <w:bCs/>
          <w:color w:val="1B2A4A"/>
          <w:sz w:val="30"/>
          <w:szCs w:val="30"/>
        </w:rPr>
        <w:t xml:space="preserve">6. Arquitetura Geral</w:t>
      </w:r>
    </w:p>
    <w:p>
      <w:pPr>
        <w:pStyle w:val="Heading2"/>
        <w:spacing w:after="120" w:before="300"/>
      </w:pPr>
      <w:r>
        <w:rPr>
          <w:b/>
          <w:bCs/>
          <w:color w:val="2E6F6E"/>
          <w:sz w:val="24"/>
          <w:szCs w:val="24"/>
        </w:rPr>
        <w:t xml:space="preserve">6.1 Princípio de Arquitetura</w:t>
      </w:r>
    </w:p>
    <w:p>
      <w:pPr>
        <w:spacing w:after="140" w:line="300"/>
      </w:pPr>
      <w:r>
        <w:rPr>
          <w:sz w:val="21"/>
          <w:szCs w:val="21"/>
        </w:rPr>
        <w:t xml:space="preserve">Processamento do arquivo (leitura do Excel, aplicação de regras, geração do CSV) continua ocorrendo 100% no navegador do usuário — o conteúdo da planilha de folha nunca trafega para o servidor. Isso preserva o diferencial de privacidade do PRD original e simplifica compliance LGPD. O que passa a existir no backend é apenas metadado: quem é o tenant, qual layout está configurado, quantas conversões foram feitas, e log de auditoria (nome do arquivo, timestamp, totais — nunca o conteúdo linha a linha).</w:t>
      </w:r>
    </w:p>
    <w:p>
      <w:pPr>
        <w:pStyle w:val="Heading2"/>
        <w:spacing w:after="120" w:before="300"/>
      </w:pPr>
      <w:r>
        <w:rPr>
          <w:b/>
          <w:bCs/>
          <w:color w:val="2E6F6E"/>
          <w:sz w:val="24"/>
          <w:szCs w:val="24"/>
        </w:rPr>
        <w:t xml:space="preserve">6.2 Stack Tecnológica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shd w:fill="1B2A4A" w:val="clear"/>
            <w:tcMar>
              <w:top w:type="dxa" w:w="80"/>
              <w:left w:type="dxa" w:w="120"/>
              <w:bottom w:type="dxa" w:w="80"/>
              <w:right w:type="dxa" w:w="120"/>
            </w:tcMar>
          </w:tcPr>
          <w:p>
            <w:pPr>
              <w:jc w:val="left"/>
            </w:pPr>
            <w:r>
              <w:rPr>
                <w:b/>
                <w:bCs/>
                <w:color w:val="FFFFFF"/>
                <w:sz w:val="19"/>
                <w:szCs w:val="19"/>
              </w:rPr>
              <w:t xml:space="preserve">Camada</w:t>
            </w:r>
          </w:p>
        </w:tc>
        <w:tc>
          <w:tcPr>
            <w:tcW w:type="dxa" w:w="6000"/>
            <w:shd w:fill="1B2A4A" w:val="clear"/>
            <w:tcMar>
              <w:top w:type="dxa" w:w="80"/>
              <w:left w:type="dxa" w:w="120"/>
              <w:bottom w:type="dxa" w:w="80"/>
              <w:right w:type="dxa" w:w="120"/>
            </w:tcMar>
          </w:tcPr>
          <w:p>
            <w:pPr>
              <w:jc w:val="left"/>
            </w:pPr>
            <w:r>
              <w:rPr>
                <w:b/>
                <w:bCs/>
                <w:color w:val="FFFFFF"/>
                <w:sz w:val="19"/>
                <w:szCs w:val="19"/>
              </w:rPr>
              <w:t xml:space="preserve">Tecnologia</w:t>
            </w:r>
          </w:p>
        </w:tc>
      </w:tr>
      <w:tr>
        <w:tc>
          <w:tcPr>
            <w:tcW w:type="dxa" w:w="2600"/>
            <w:shd w:fill="FFFFFF" w:val="clear"/>
            <w:tcMar>
              <w:top w:type="dxa" w:w="80"/>
              <w:left w:type="dxa" w:w="120"/>
              <w:bottom w:type="dxa" w:w="80"/>
              <w:right w:type="dxa" w:w="120"/>
            </w:tcMar>
          </w:tcPr>
          <w:p>
            <w:pPr>
              <w:jc w:val="left"/>
            </w:pPr>
            <w:r>
              <w:rPr>
                <w:b w:val="false"/>
                <w:bCs w:val="false"/>
                <w:color w:val="111111"/>
                <w:sz w:val="19"/>
                <w:szCs w:val="19"/>
              </w:rPr>
              <w:t xml:space="preserve">Front-end</w:t>
            </w:r>
          </w:p>
        </w:tc>
        <w:tc>
          <w:tcPr>
            <w:tcW w:type="dxa" w:w="6000"/>
            <w:shd w:fill="FFFFFF" w:val="clear"/>
            <w:tcMar>
              <w:top w:type="dxa" w:w="80"/>
              <w:left w:type="dxa" w:w="120"/>
              <w:bottom w:type="dxa" w:w="80"/>
              <w:right w:type="dxa" w:w="120"/>
            </w:tcMar>
          </w:tcPr>
          <w:p>
            <w:pPr>
              <w:jc w:val="left"/>
            </w:pPr>
            <w:r>
              <w:rPr>
                <w:b w:val="false"/>
                <w:bCs w:val="false"/>
                <w:color w:val="111111"/>
                <w:sz w:val="19"/>
                <w:szCs w:val="19"/>
              </w:rPr>
              <w:t xml:space="preserve">React 19, TypeScript (strict), Vite, TailwindCSS, shadcn/ui</w:t>
            </w:r>
          </w:p>
        </w:tc>
      </w:tr>
      <w:tr>
        <w:tc>
          <w:tcPr>
            <w:tcW w:type="dxa" w:w="2600"/>
            <w:shd w:fill="F2F4F7" w:val="clear"/>
            <w:tcMar>
              <w:top w:type="dxa" w:w="80"/>
              <w:left w:type="dxa" w:w="120"/>
              <w:bottom w:type="dxa" w:w="80"/>
              <w:right w:type="dxa" w:w="120"/>
            </w:tcMar>
          </w:tcPr>
          <w:p>
            <w:pPr>
              <w:jc w:val="left"/>
            </w:pPr>
            <w:r>
              <w:rPr>
                <w:b w:val="false"/>
                <w:bCs w:val="false"/>
                <w:color w:val="111111"/>
                <w:sz w:val="19"/>
                <w:szCs w:val="19"/>
              </w:rPr>
              <w:t xml:space="preserve">Bibliotecas de processamento</w:t>
            </w:r>
          </w:p>
        </w:tc>
        <w:tc>
          <w:tcPr>
            <w:tcW w:type="dxa" w:w="6000"/>
            <w:shd w:fill="F2F4F7" w:val="clear"/>
            <w:tcMar>
              <w:top w:type="dxa" w:w="80"/>
              <w:left w:type="dxa" w:w="120"/>
              <w:bottom w:type="dxa" w:w="80"/>
              <w:right w:type="dxa" w:w="120"/>
            </w:tcMar>
          </w:tcPr>
          <w:p>
            <w:pPr>
              <w:jc w:val="left"/>
            </w:pPr>
            <w:r>
              <w:rPr>
                <w:b w:val="false"/>
                <w:bCs w:val="false"/>
                <w:color w:val="111111"/>
                <w:sz w:val="19"/>
                <w:szCs w:val="19"/>
              </w:rPr>
              <w:t xml:space="preserve">SheetJS (xlsx), React Hook Form, Zod, Lucide React, Sonner, Framer Motion</w:t>
            </w:r>
          </w:p>
        </w:tc>
      </w:tr>
      <w:tr>
        <w:tc>
          <w:tcPr>
            <w:tcW w:type="dxa" w:w="2600"/>
            <w:shd w:fill="FFFFFF" w:val="clear"/>
            <w:tcMar>
              <w:top w:type="dxa" w:w="80"/>
              <w:left w:type="dxa" w:w="120"/>
              <w:bottom w:type="dxa" w:w="80"/>
              <w:right w:type="dxa" w:w="120"/>
            </w:tcMar>
          </w:tcPr>
          <w:p>
            <w:pPr>
              <w:jc w:val="left"/>
            </w:pPr>
            <w:r>
              <w:rPr>
                <w:b w:val="false"/>
                <w:bCs w:val="false"/>
                <w:color w:val="111111"/>
                <w:sz w:val="19"/>
                <w:szCs w:val="19"/>
              </w:rPr>
              <w:t xml:space="preserve">Backend / Dados</w:t>
            </w:r>
          </w:p>
        </w:tc>
        <w:tc>
          <w:tcPr>
            <w:tcW w:type="dxa" w:w="6000"/>
            <w:shd w:fill="FFFFFF" w:val="clear"/>
            <w:tcMar>
              <w:top w:type="dxa" w:w="80"/>
              <w:left w:type="dxa" w:w="120"/>
              <w:bottom w:type="dxa" w:w="80"/>
              <w:right w:type="dxa" w:w="120"/>
            </w:tcMar>
          </w:tcPr>
          <w:p>
            <w:pPr>
              <w:jc w:val="left"/>
            </w:pPr>
            <w:r>
              <w:rPr>
                <w:b w:val="false"/>
                <w:bCs w:val="false"/>
                <w:color w:val="111111"/>
                <w:sz w:val="19"/>
                <w:szCs w:val="19"/>
              </w:rPr>
              <w:t xml:space="preserve">Supabase (Postgres + Auth + Row Level Security + Storage para logs)</w:t>
            </w:r>
          </w:p>
        </w:tc>
      </w:tr>
      <w:tr>
        <w:tc>
          <w:tcPr>
            <w:tcW w:type="dxa" w:w="2600"/>
            <w:shd w:fill="F2F4F7" w:val="clear"/>
            <w:tcMar>
              <w:top w:type="dxa" w:w="80"/>
              <w:left w:type="dxa" w:w="120"/>
              <w:bottom w:type="dxa" w:w="80"/>
              <w:right w:type="dxa" w:w="120"/>
            </w:tcMar>
          </w:tcPr>
          <w:p>
            <w:pPr>
              <w:jc w:val="left"/>
            </w:pPr>
            <w:r>
              <w:rPr>
                <w:b w:val="false"/>
                <w:bCs w:val="false"/>
                <w:color w:val="111111"/>
                <w:sz w:val="19"/>
                <w:szCs w:val="19"/>
              </w:rPr>
              <w:t xml:space="preserve">Billing</w:t>
            </w:r>
          </w:p>
        </w:tc>
        <w:tc>
          <w:tcPr>
            <w:tcW w:type="dxa" w:w="6000"/>
            <w:shd w:fill="F2F4F7" w:val="clear"/>
            <w:tcMar>
              <w:top w:type="dxa" w:w="80"/>
              <w:left w:type="dxa" w:w="120"/>
              <w:bottom w:type="dxa" w:w="80"/>
              <w:right w:type="dxa" w:w="120"/>
            </w:tcMar>
          </w:tcPr>
          <w:p>
            <w:pPr>
              <w:jc w:val="left"/>
            </w:pPr>
            <w:r>
              <w:rPr>
                <w:b w:val="false"/>
                <w:bCs w:val="false"/>
                <w:color w:val="111111"/>
                <w:sz w:val="19"/>
                <w:szCs w:val="19"/>
              </w:rPr>
              <w:t xml:space="preserve">Stripe (assinatura, portal de cobrança, webhooks de status de plano)</w:t>
            </w:r>
          </w:p>
        </w:tc>
      </w:tr>
      <w:tr>
        <w:tc>
          <w:tcPr>
            <w:tcW w:type="dxa" w:w="2600"/>
            <w:shd w:fill="FFFFFF" w:val="clear"/>
            <w:tcMar>
              <w:top w:type="dxa" w:w="80"/>
              <w:left w:type="dxa" w:w="120"/>
              <w:bottom w:type="dxa" w:w="80"/>
              <w:right w:type="dxa" w:w="120"/>
            </w:tcMar>
          </w:tcPr>
          <w:p>
            <w:pPr>
              <w:jc w:val="left"/>
            </w:pPr>
            <w:r>
              <w:rPr>
                <w:b w:val="false"/>
                <w:bCs w:val="false"/>
                <w:color w:val="111111"/>
                <w:sz w:val="19"/>
                <w:szCs w:val="19"/>
              </w:rPr>
              <w:t xml:space="preserve">Automação interna</w:t>
            </w:r>
          </w:p>
        </w:tc>
        <w:tc>
          <w:tcPr>
            <w:tcW w:type="dxa" w:w="6000"/>
            <w:shd w:fill="FFFFFF" w:val="clear"/>
            <w:tcMar>
              <w:top w:type="dxa" w:w="80"/>
              <w:left w:type="dxa" w:w="120"/>
              <w:bottom w:type="dxa" w:w="80"/>
              <w:right w:type="dxa" w:w="120"/>
            </w:tcMar>
          </w:tcPr>
          <w:p>
            <w:pPr>
              <w:jc w:val="left"/>
            </w:pPr>
            <w:r>
              <w:rPr>
                <w:b w:val="false"/>
                <w:bCs w:val="false"/>
                <w:color w:val="111111"/>
                <w:sz w:val="19"/>
                <w:szCs w:val="19"/>
              </w:rPr>
              <w:t xml:space="preserve">N8N para: onboarding de novo tenant, alertas de falha de pagamento, e-mails transacionais</w:t>
            </w:r>
          </w:p>
        </w:tc>
      </w:tr>
      <w:tr>
        <w:tc>
          <w:tcPr>
            <w:tcW w:type="dxa" w:w="2600"/>
            <w:shd w:fill="F2F4F7" w:val="clear"/>
            <w:tcMar>
              <w:top w:type="dxa" w:w="80"/>
              <w:left w:type="dxa" w:w="120"/>
              <w:bottom w:type="dxa" w:w="80"/>
              <w:right w:type="dxa" w:w="120"/>
            </w:tcMar>
          </w:tcPr>
          <w:p>
            <w:pPr>
              <w:jc w:val="left"/>
            </w:pPr>
            <w:r>
              <w:rPr>
                <w:b w:val="false"/>
                <w:bCs w:val="false"/>
                <w:color w:val="111111"/>
                <w:sz w:val="19"/>
                <w:szCs w:val="19"/>
              </w:rPr>
              <w:t xml:space="preserve">CRM / Nutrição</w:t>
            </w:r>
          </w:p>
        </w:tc>
        <w:tc>
          <w:tcPr>
            <w:tcW w:type="dxa" w:w="6000"/>
            <w:shd w:fill="F2F4F7" w:val="clear"/>
            <w:tcMar>
              <w:top w:type="dxa" w:w="80"/>
              <w:left w:type="dxa" w:w="120"/>
              <w:bottom w:type="dxa" w:w="80"/>
              <w:right w:type="dxa" w:w="120"/>
            </w:tcMar>
          </w:tcPr>
          <w:p>
            <w:pPr>
              <w:jc w:val="left"/>
            </w:pPr>
            <w:r>
              <w:rPr>
                <w:b w:val="false"/>
                <w:bCs w:val="false"/>
                <w:color w:val="111111"/>
                <w:sz w:val="19"/>
                <w:szCs w:val="19"/>
              </w:rPr>
              <w:t xml:space="preserve">ActiveCampaign para funil de trial → pago e campanhas de reativação</w:t>
            </w:r>
          </w:p>
        </w:tc>
      </w:tr>
      <w:tr>
        <w:tc>
          <w:tcPr>
            <w:tcW w:type="dxa" w:w="2600"/>
            <w:shd w:fill="FFFFFF" w:val="clear"/>
            <w:tcMar>
              <w:top w:type="dxa" w:w="80"/>
              <w:left w:type="dxa" w:w="120"/>
              <w:bottom w:type="dxa" w:w="80"/>
              <w:right w:type="dxa" w:w="120"/>
            </w:tcMar>
          </w:tcPr>
          <w:p>
            <w:pPr>
              <w:jc w:val="left"/>
            </w:pPr>
            <w:r>
              <w:rPr>
                <w:b w:val="false"/>
                <w:bCs w:val="false"/>
                <w:color w:val="111111"/>
                <w:sz w:val="19"/>
                <w:szCs w:val="19"/>
              </w:rPr>
              <w:t xml:space="preserve">Deploy</w:t>
            </w:r>
          </w:p>
        </w:tc>
        <w:tc>
          <w:tcPr>
            <w:tcW w:type="dxa" w:w="6000"/>
            <w:shd w:fill="FFFFFF" w:val="clear"/>
            <w:tcMar>
              <w:top w:type="dxa" w:w="80"/>
              <w:left w:type="dxa" w:w="120"/>
              <w:bottom w:type="dxa" w:w="80"/>
              <w:right w:type="dxa" w:w="120"/>
            </w:tcMar>
          </w:tcPr>
          <w:p>
            <w:pPr>
              <w:jc w:val="left"/>
            </w:pPr>
            <w:r>
              <w:rPr>
                <w:b w:val="false"/>
                <w:bCs w:val="false"/>
                <w:color w:val="111111"/>
                <w:sz w:val="19"/>
                <w:szCs w:val="19"/>
              </w:rPr>
              <w:t xml:space="preserve">Vercel (front-end), Supabase Cloud (backend)</w:t>
            </w:r>
          </w:p>
        </w:tc>
      </w:tr>
    </w:tbl>
    <w:p>
      <w:pPr>
        <w:pStyle w:val="Heading2"/>
        <w:spacing w:after="120" w:before="300"/>
      </w:pPr>
      <w:r>
        <w:rPr>
          <w:b/>
          <w:bCs/>
          <w:color w:val="2E6F6E"/>
          <w:sz w:val="24"/>
          <w:szCs w:val="24"/>
        </w:rPr>
        <w:t xml:space="preserve">6.3 Fluxo de Dados (alto nível)</w:t>
      </w:r>
    </w:p>
    <w:p>
      <w:pPr>
        <w:pBdr>
          <w:top w:val="single" w:color="1E1E1E" w:sz="2"/>
          <w:bottom w:val="single" w:color="1E1E1E" w:sz="2"/>
          <w:left w:val="single" w:color="1E1E1E" w:sz="2"/>
          <w:right w:val="single" w:color="1E1E1E" w:sz="2"/>
        </w:pBdr>
        <w:shd w:fill="1E1E1E" w:val="clear"/>
        <w:spacing w:after="140" w:before="60"/>
      </w:pPr>
      <w:r>
        <w:rPr>
          <w:rFonts w:ascii="Consolas" w:cs="Consolas" w:eastAsia="Consolas" w:hAnsi="Consolas"/>
          <w:color w:val="D4D4D4"/>
          <w:sz w:val="19"/>
          <w:szCs w:val="19"/>
        </w:rPr>
        <w:t xml:space="preserve">Usuário → Login (Supabase Auth) → Seleciona Layout do Tenant</w:t>
      </w:r>
      <w:r>
        <w:br/>
        <w:t xml:space="preserve"/>
      </w:r>
      <w:r>
        <w:rPr>
          <w:rFonts w:ascii="Consolas" w:cs="Consolas" w:eastAsia="Consolas" w:hAnsi="Consolas"/>
          <w:color w:val="D4D4D4"/>
          <w:sz w:val="19"/>
          <w:szCs w:val="19"/>
        </w:rPr>
        <w:t xml:space="preserve">  → Upload do Excel (processado 100% no navegador via SheetJS)</w:t>
      </w:r>
      <w:r>
        <w:br/>
        <w:t xml:space="preserve"/>
      </w:r>
      <w:r>
        <w:rPr>
          <w:rFonts w:ascii="Consolas" w:cs="Consolas" w:eastAsia="Consolas" w:hAnsi="Consolas"/>
          <w:color w:val="D4D4D4"/>
          <w:sz w:val="19"/>
          <w:szCs w:val="19"/>
        </w:rPr>
        <w:t xml:space="preserve">  → Motor de Regras (configuração do tenant, buscada do Supabase)</w:t>
      </w:r>
      <w:r>
        <w:br/>
        <w:t xml:space="preserve"/>
      </w:r>
      <w:r>
        <w:rPr>
          <w:rFonts w:ascii="Consolas" w:cs="Consolas" w:eastAsia="Consolas" w:hAnsi="Consolas"/>
          <w:color w:val="D4D4D4"/>
          <w:sz w:val="19"/>
          <w:szCs w:val="19"/>
        </w:rPr>
        <w:t xml:space="preserve">  → Geração do CSV (client-side)</w:t>
      </w:r>
      <w:r>
        <w:br/>
        <w:t xml:space="preserve"/>
      </w:r>
      <w:r>
        <w:rPr>
          <w:rFonts w:ascii="Consolas" w:cs="Consolas" w:eastAsia="Consolas" w:hAnsi="Consolas"/>
          <w:color w:val="D4D4D4"/>
          <w:sz w:val="19"/>
          <w:szCs w:val="19"/>
        </w:rPr>
        <w:t xml:space="preserve">  → Log de metadados enviado ao Supabase (auditoria + contagem de uso)</w:t>
      </w:r>
      <w:r>
        <w:br/>
        <w:t xml:space="preserve"/>
      </w:r>
      <w:r>
        <w:rPr>
          <w:rFonts w:ascii="Consolas" w:cs="Consolas" w:eastAsia="Consolas" w:hAnsi="Consolas"/>
          <w:color w:val="D4D4D4"/>
          <w:sz w:val="19"/>
          <w:szCs w:val="19"/>
        </w:rPr>
        <w:t xml:space="preserve">  → Download do CSV</w:t>
      </w:r>
    </w:p>
    <w:p>
      <w:pPr>
        <w:pStyle w:val="Heading1"/>
        <w:pBdr>
          <w:bottom w:val="single" w:color="1B2A4A" w:sz="6" w:space="4"/>
        </w:pBdr>
        <w:spacing w:after="200" w:before="400"/>
      </w:pPr>
      <w:r>
        <w:rPr>
          <w:b/>
          <w:bCs/>
          <w:color w:val="1B2A4A"/>
          <w:sz w:val="30"/>
          <w:szCs w:val="30"/>
        </w:rPr>
        <w:t xml:space="preserve">7. Modelo de Dados (Supabase)</w:t>
      </w:r>
    </w:p>
    <w:p>
      <w:pPr>
        <w:spacing w:after="140" w:line="300"/>
      </w:pPr>
      <w:r>
        <w:rPr>
          <w:sz w:val="21"/>
          <w:szCs w:val="21"/>
        </w:rPr>
        <w:t xml:space="preserve">Estrutura mínima de tabelas (Postgres/Supabase), com Row Level Security por tenant_id: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5800"/>
        <w:gridCol w:w="600"/>
      </w:tblGrid>
      <w:tr>
        <w:trPr>
          <w:tblHeader/>
        </w:trPr>
        <w:tc>
          <w:tcPr>
            <w:tcW w:type="dxa" w:w="2200"/>
            <w:shd w:fill="1B2A4A" w:val="clear"/>
            <w:tcMar>
              <w:top w:type="dxa" w:w="80"/>
              <w:left w:type="dxa" w:w="120"/>
              <w:bottom w:type="dxa" w:w="80"/>
              <w:right w:type="dxa" w:w="120"/>
            </w:tcMar>
          </w:tcPr>
          <w:p>
            <w:pPr>
              <w:jc w:val="left"/>
            </w:pPr>
            <w:r>
              <w:rPr>
                <w:b/>
                <w:bCs/>
                <w:color w:val="FFFFFF"/>
                <w:sz w:val="19"/>
                <w:szCs w:val="19"/>
              </w:rPr>
              <w:t xml:space="preserve">Tabela</w:t>
            </w:r>
          </w:p>
        </w:tc>
        <w:tc>
          <w:tcPr>
            <w:tcW w:type="dxa" w:w="5800"/>
            <w:shd w:fill="1B2A4A" w:val="clear"/>
            <w:tcMar>
              <w:top w:type="dxa" w:w="80"/>
              <w:left w:type="dxa" w:w="120"/>
              <w:bottom w:type="dxa" w:w="80"/>
              <w:right w:type="dxa" w:w="120"/>
            </w:tcMar>
          </w:tcPr>
          <w:p>
            <w:pPr>
              <w:jc w:val="left"/>
            </w:pPr>
            <w:r>
              <w:rPr>
                <w:b/>
                <w:bCs/>
                <w:color w:val="FFFFFF"/>
                <w:sz w:val="19"/>
                <w:szCs w:val="19"/>
              </w:rPr>
              <w:t xml:space="preserve">Campos principais</w:t>
            </w:r>
          </w:p>
        </w:tc>
        <w:tc>
          <w:tcPr>
            <w:tcW w:type="dxa" w:w="600"/>
            <w:shd w:fill="1B2A4A" w:val="clear"/>
            <w:tcMar>
              <w:top w:type="dxa" w:w="80"/>
              <w:left w:type="dxa" w:w="120"/>
              <w:bottom w:type="dxa" w:w="80"/>
              <w:right w:type="dxa" w:w="120"/>
            </w:tcMar>
          </w:tcPr>
          <w:p>
            <w:pPr>
              <w:jc w:val="left"/>
            </w:pPr>
            <w:r>
              <w:rPr>
                <w:b/>
                <w:bCs/>
                <w:color w:val="FFFFFF"/>
                <w:sz w:val="19"/>
                <w:szCs w:val="19"/>
              </w:rPr>
              <w:t xml:space="preserve"/>
            </w:r>
          </w:p>
        </w:tc>
      </w:tr>
      <w:tr>
        <w:tc>
          <w:tcPr>
            <w:tcW w:type="dxa" w:w="2200"/>
            <w:shd w:fill="FFFFFF" w:val="clear"/>
            <w:tcMar>
              <w:top w:type="dxa" w:w="80"/>
              <w:left w:type="dxa" w:w="120"/>
              <w:bottom w:type="dxa" w:w="80"/>
              <w:right w:type="dxa" w:w="120"/>
            </w:tcMar>
          </w:tcPr>
          <w:p>
            <w:pPr>
              <w:jc w:val="left"/>
            </w:pPr>
            <w:r>
              <w:rPr>
                <w:b w:val="false"/>
                <w:bCs w:val="false"/>
                <w:color w:val="111111"/>
                <w:sz w:val="19"/>
                <w:szCs w:val="19"/>
              </w:rPr>
              <w:t xml:space="preserve">tenants</w:t>
            </w:r>
          </w:p>
        </w:tc>
        <w:tc>
          <w:tcPr>
            <w:tcW w:type="dxa" w:w="5800"/>
            <w:shd w:fill="FFFFFF" w:val="clear"/>
            <w:tcMar>
              <w:top w:type="dxa" w:w="80"/>
              <w:left w:type="dxa" w:w="120"/>
              <w:bottom w:type="dxa" w:w="80"/>
              <w:right w:type="dxa" w:w="120"/>
            </w:tcMar>
          </w:tcPr>
          <w:p>
            <w:pPr>
              <w:jc w:val="left"/>
            </w:pPr>
            <w:r>
              <w:rPr>
                <w:b w:val="false"/>
                <w:bCs w:val="false"/>
                <w:color w:val="111111"/>
                <w:sz w:val="19"/>
                <w:szCs w:val="19"/>
              </w:rPr>
              <w:t xml:space="preserve">id, nome, plano_id, status_assinatura, stripe_customer_id, criado_em</w:t>
            </w:r>
          </w:p>
        </w:tc>
        <w:tc>
          <w:tcPr>
            <w:tcW w:type="dxa" w:w="600"/>
            <w:shd w:fill="FFFFFF" w:val="clear"/>
            <w:tcMar>
              <w:top w:type="dxa" w:w="80"/>
              <w:left w:type="dxa" w:w="120"/>
              <w:bottom w:type="dxa" w:w="80"/>
              <w:right w:type="dxa" w:w="120"/>
            </w:tcMar>
          </w:tcPr>
          <w:p>
            <w:pPr>
              <w:jc w:val="left"/>
            </w:pPr>
            <w:r>
              <w:rPr>
                <w:b w:val="false"/>
                <w:bCs w:val="false"/>
                <w:color w:val="111111"/>
                <w:sz w:val="19"/>
                <w:szCs w:val="19"/>
              </w:rPr>
              <w:t xml:space="preserve"/>
            </w:r>
          </w:p>
        </w:tc>
      </w:tr>
      <w:tr>
        <w:tc>
          <w:tcPr>
            <w:tcW w:type="dxa" w:w="2200"/>
            <w:shd w:fill="F2F4F7" w:val="clear"/>
            <w:tcMar>
              <w:top w:type="dxa" w:w="80"/>
              <w:left w:type="dxa" w:w="120"/>
              <w:bottom w:type="dxa" w:w="80"/>
              <w:right w:type="dxa" w:w="120"/>
            </w:tcMar>
          </w:tcPr>
          <w:p>
            <w:pPr>
              <w:jc w:val="left"/>
            </w:pPr>
            <w:r>
              <w:rPr>
                <w:b w:val="false"/>
                <w:bCs w:val="false"/>
                <w:color w:val="111111"/>
                <w:sz w:val="19"/>
                <w:szCs w:val="19"/>
              </w:rPr>
              <w:t xml:space="preserve">users</w:t>
            </w:r>
          </w:p>
        </w:tc>
        <w:tc>
          <w:tcPr>
            <w:tcW w:type="dxa" w:w="5800"/>
            <w:shd w:fill="F2F4F7" w:val="clear"/>
            <w:tcMar>
              <w:top w:type="dxa" w:w="80"/>
              <w:left w:type="dxa" w:w="120"/>
              <w:bottom w:type="dxa" w:w="80"/>
              <w:right w:type="dxa" w:w="120"/>
            </w:tcMar>
          </w:tcPr>
          <w:p>
            <w:pPr>
              <w:jc w:val="left"/>
            </w:pPr>
            <w:r>
              <w:rPr>
                <w:b w:val="false"/>
                <w:bCs w:val="false"/>
                <w:color w:val="111111"/>
                <w:sz w:val="19"/>
                <w:szCs w:val="19"/>
              </w:rPr>
              <w:t xml:space="preserve">id, tenant_id, nome, e-mail, papel (admin/operador), criado_em</w:t>
            </w:r>
          </w:p>
        </w:tc>
        <w:tc>
          <w:tcPr>
            <w:tcW w:type="dxa" w:w="600"/>
            <w:shd w:fill="F2F4F7" w:val="clear"/>
            <w:tcMar>
              <w:top w:type="dxa" w:w="80"/>
              <w:left w:type="dxa" w:w="120"/>
              <w:bottom w:type="dxa" w:w="80"/>
              <w:right w:type="dxa" w:w="120"/>
            </w:tcMar>
          </w:tcPr>
          <w:p>
            <w:pPr>
              <w:jc w:val="left"/>
            </w:pPr>
            <w:r>
              <w:rPr>
                <w:b w:val="false"/>
                <w:bCs w:val="false"/>
                <w:color w:val="111111"/>
                <w:sz w:val="19"/>
                <w:szCs w:val="19"/>
              </w:rPr>
              <w:t xml:space="preserve"/>
            </w:r>
          </w:p>
        </w:tc>
      </w:tr>
      <w:tr>
        <w:tc>
          <w:tcPr>
            <w:tcW w:type="dxa" w:w="2200"/>
            <w:shd w:fill="FFFFFF" w:val="clear"/>
            <w:tcMar>
              <w:top w:type="dxa" w:w="80"/>
              <w:left w:type="dxa" w:w="120"/>
              <w:bottom w:type="dxa" w:w="80"/>
              <w:right w:type="dxa" w:w="120"/>
            </w:tcMar>
          </w:tcPr>
          <w:p>
            <w:pPr>
              <w:jc w:val="left"/>
            </w:pPr>
            <w:r>
              <w:rPr>
                <w:b w:val="false"/>
                <w:bCs w:val="false"/>
                <w:color w:val="111111"/>
                <w:sz w:val="19"/>
                <w:szCs w:val="19"/>
              </w:rPr>
              <w:t xml:space="preserve">layouts</w:t>
            </w:r>
          </w:p>
        </w:tc>
        <w:tc>
          <w:tcPr>
            <w:tcW w:type="dxa" w:w="5800"/>
            <w:shd w:fill="FFFFFF" w:val="clear"/>
            <w:tcMar>
              <w:top w:type="dxa" w:w="80"/>
              <w:left w:type="dxa" w:w="120"/>
              <w:bottom w:type="dxa" w:w="80"/>
              <w:right w:type="dxa" w:w="120"/>
            </w:tcMar>
          </w:tcPr>
          <w:p>
            <w:pPr>
              <w:jc w:val="left"/>
            </w:pPr>
            <w:r>
              <w:rPr>
                <w:b w:val="false"/>
                <w:bCs w:val="false"/>
                <w:color w:val="111111"/>
                <w:sz w:val="19"/>
                <w:szCs w:val="19"/>
              </w:rPr>
              <w:t xml:space="preserve">id, tenant_id, nome_layout, config_json (mapeamento de abas/colunas/eventos), versao, ativo</w:t>
            </w:r>
          </w:p>
        </w:tc>
        <w:tc>
          <w:tcPr>
            <w:tcW w:type="dxa" w:w="600"/>
            <w:shd w:fill="FFFFFF" w:val="clear"/>
            <w:tcMar>
              <w:top w:type="dxa" w:w="80"/>
              <w:left w:type="dxa" w:w="120"/>
              <w:bottom w:type="dxa" w:w="80"/>
              <w:right w:type="dxa" w:w="120"/>
            </w:tcMar>
          </w:tcPr>
          <w:p>
            <w:pPr>
              <w:jc w:val="left"/>
            </w:pPr>
            <w:r>
              <w:rPr>
                <w:b w:val="false"/>
                <w:bCs w:val="false"/>
                <w:color w:val="111111"/>
                <w:sz w:val="19"/>
                <w:szCs w:val="19"/>
              </w:rPr>
              <w:t xml:space="preserve"/>
            </w:r>
          </w:p>
        </w:tc>
      </w:tr>
      <w:tr>
        <w:tc>
          <w:tcPr>
            <w:tcW w:type="dxa" w:w="2200"/>
            <w:shd w:fill="F2F4F7" w:val="clear"/>
            <w:tcMar>
              <w:top w:type="dxa" w:w="80"/>
              <w:left w:type="dxa" w:w="120"/>
              <w:bottom w:type="dxa" w:w="80"/>
              <w:right w:type="dxa" w:w="120"/>
            </w:tcMar>
          </w:tcPr>
          <w:p>
            <w:pPr>
              <w:jc w:val="left"/>
            </w:pPr>
            <w:r>
              <w:rPr>
                <w:b w:val="false"/>
                <w:bCs w:val="false"/>
                <w:color w:val="111111"/>
                <w:sz w:val="19"/>
                <w:szCs w:val="19"/>
              </w:rPr>
              <w:t xml:space="preserve">conversoes</w:t>
            </w:r>
          </w:p>
        </w:tc>
        <w:tc>
          <w:tcPr>
            <w:tcW w:type="dxa" w:w="5800"/>
            <w:shd w:fill="F2F4F7" w:val="clear"/>
            <w:tcMar>
              <w:top w:type="dxa" w:w="80"/>
              <w:left w:type="dxa" w:w="120"/>
              <w:bottom w:type="dxa" w:w="80"/>
              <w:right w:type="dxa" w:w="120"/>
            </w:tcMar>
          </w:tcPr>
          <w:p>
            <w:pPr>
              <w:jc w:val="left"/>
            </w:pPr>
            <w:r>
              <w:rPr>
                <w:b w:val="false"/>
                <w:bCs w:val="false"/>
                <w:color w:val="111111"/>
                <w:sz w:val="19"/>
                <w:szCs w:val="19"/>
              </w:rPr>
              <w:t xml:space="preserve">id, tenant_id, layout_id, usuario_id, nome_arquivo, qtd_registros, valor_total, status, timestamp</w:t>
            </w:r>
          </w:p>
        </w:tc>
        <w:tc>
          <w:tcPr>
            <w:tcW w:type="dxa" w:w="600"/>
            <w:shd w:fill="F2F4F7" w:val="clear"/>
            <w:tcMar>
              <w:top w:type="dxa" w:w="80"/>
              <w:left w:type="dxa" w:w="120"/>
              <w:bottom w:type="dxa" w:w="80"/>
              <w:right w:type="dxa" w:w="120"/>
            </w:tcMar>
          </w:tcPr>
          <w:p>
            <w:pPr>
              <w:jc w:val="left"/>
            </w:pPr>
            <w:r>
              <w:rPr>
                <w:b w:val="false"/>
                <w:bCs w:val="false"/>
                <w:color w:val="111111"/>
                <w:sz w:val="19"/>
                <w:szCs w:val="19"/>
              </w:rPr>
              <w:t xml:space="preserve"/>
            </w:r>
          </w:p>
        </w:tc>
      </w:tr>
      <w:tr>
        <w:tc>
          <w:tcPr>
            <w:tcW w:type="dxa" w:w="2200"/>
            <w:shd w:fill="FFFFFF" w:val="clear"/>
            <w:tcMar>
              <w:top w:type="dxa" w:w="80"/>
              <w:left w:type="dxa" w:w="120"/>
              <w:bottom w:type="dxa" w:w="80"/>
              <w:right w:type="dxa" w:w="120"/>
            </w:tcMar>
          </w:tcPr>
          <w:p>
            <w:pPr>
              <w:jc w:val="left"/>
            </w:pPr>
            <w:r>
              <w:rPr>
                <w:b w:val="false"/>
                <w:bCs w:val="false"/>
                <w:color w:val="111111"/>
                <w:sz w:val="19"/>
                <w:szCs w:val="19"/>
              </w:rPr>
              <w:t xml:space="preserve">auditoria</w:t>
            </w:r>
          </w:p>
        </w:tc>
        <w:tc>
          <w:tcPr>
            <w:tcW w:type="dxa" w:w="5800"/>
            <w:shd w:fill="FFFFFF" w:val="clear"/>
            <w:tcMar>
              <w:top w:type="dxa" w:w="80"/>
              <w:left w:type="dxa" w:w="120"/>
              <w:bottom w:type="dxa" w:w="80"/>
              <w:right w:type="dxa" w:w="120"/>
            </w:tcMar>
          </w:tcPr>
          <w:p>
            <w:pPr>
              <w:jc w:val="left"/>
            </w:pPr>
            <w:r>
              <w:rPr>
                <w:b w:val="false"/>
                <w:bCs w:val="false"/>
                <w:color w:val="111111"/>
                <w:sz w:val="19"/>
                <w:szCs w:val="19"/>
              </w:rPr>
              <w:t xml:space="preserve">id, tenant_id, conversao_id, evento (ex: 'aba ausente'), detalhe, timestamp</w:t>
            </w:r>
          </w:p>
        </w:tc>
        <w:tc>
          <w:tcPr>
            <w:tcW w:type="dxa" w:w="600"/>
            <w:shd w:fill="FFFFFF" w:val="clear"/>
            <w:tcMar>
              <w:top w:type="dxa" w:w="80"/>
              <w:left w:type="dxa" w:w="120"/>
              <w:bottom w:type="dxa" w:w="80"/>
              <w:right w:type="dxa" w:w="120"/>
            </w:tcMar>
          </w:tcPr>
          <w:p>
            <w:pPr>
              <w:jc w:val="left"/>
            </w:pPr>
            <w:r>
              <w:rPr>
                <w:b w:val="false"/>
                <w:bCs w:val="false"/>
                <w:color w:val="111111"/>
                <w:sz w:val="19"/>
                <w:szCs w:val="19"/>
              </w:rPr>
              <w:t xml:space="preserve"/>
            </w:r>
          </w:p>
        </w:tc>
      </w:tr>
      <w:tr>
        <w:tc>
          <w:tcPr>
            <w:tcW w:type="dxa" w:w="2200"/>
            <w:shd w:fill="F2F4F7" w:val="clear"/>
            <w:tcMar>
              <w:top w:type="dxa" w:w="80"/>
              <w:left w:type="dxa" w:w="120"/>
              <w:bottom w:type="dxa" w:w="80"/>
              <w:right w:type="dxa" w:w="120"/>
            </w:tcMar>
          </w:tcPr>
          <w:p>
            <w:pPr>
              <w:jc w:val="left"/>
            </w:pPr>
            <w:r>
              <w:rPr>
                <w:b w:val="false"/>
                <w:bCs w:val="false"/>
                <w:color w:val="111111"/>
                <w:sz w:val="19"/>
                <w:szCs w:val="19"/>
              </w:rPr>
              <w:t xml:space="preserve">planos</w:t>
            </w:r>
          </w:p>
        </w:tc>
        <w:tc>
          <w:tcPr>
            <w:tcW w:type="dxa" w:w="5800"/>
            <w:shd w:fill="F2F4F7" w:val="clear"/>
            <w:tcMar>
              <w:top w:type="dxa" w:w="80"/>
              <w:left w:type="dxa" w:w="120"/>
              <w:bottom w:type="dxa" w:w="80"/>
              <w:right w:type="dxa" w:w="120"/>
            </w:tcMar>
          </w:tcPr>
          <w:p>
            <w:pPr>
              <w:jc w:val="left"/>
            </w:pPr>
            <w:r>
              <w:rPr>
                <w:b w:val="false"/>
                <w:bCs w:val="false"/>
                <w:color w:val="111111"/>
                <w:sz w:val="19"/>
                <w:szCs w:val="19"/>
              </w:rPr>
              <w:t xml:space="preserve">id, nome, limite_layouts, limite_conversoes_mes, preco_mensal</w:t>
            </w:r>
          </w:p>
        </w:tc>
        <w:tc>
          <w:tcPr>
            <w:tcW w:type="dxa" w:w="600"/>
            <w:shd w:fill="F2F4F7" w:val="clear"/>
            <w:tcMar>
              <w:top w:type="dxa" w:w="80"/>
              <w:left w:type="dxa" w:w="120"/>
              <w:bottom w:type="dxa" w:w="80"/>
              <w:right w:type="dxa" w:w="120"/>
            </w:tcMar>
          </w:tcPr>
          <w:p>
            <w:pPr>
              <w:jc w:val="left"/>
            </w:pPr>
            <w:r>
              <w:rPr>
                <w:b w:val="false"/>
                <w:bCs w:val="false"/>
                <w:color w:val="111111"/>
                <w:sz w:val="19"/>
                <w:szCs w:val="19"/>
              </w:rPr>
              <w:t xml:space="preserve"/>
            </w:r>
          </w:p>
        </w:tc>
      </w:tr>
    </w:tbl>
    <w:p>
      <w:pPr>
        <w:spacing w:after="140" w:line="300"/>
      </w:pPr>
      <w:r>
        <w:rPr>
          <w:sz w:val="21"/>
          <w:szCs w:val="21"/>
        </w:rPr>
        <w:t xml:space="preserve">O campo config_json em layouts é o coração da mudança de nicho para SaaS: substitui todo o hardcode de nomes de aba e códigos de evento do PRD original por um dado configurável. Ver seção 9.</w:t>
      </w:r>
    </w:p>
    <w:p>
      <w:pPr>
        <w:pStyle w:val="Heading1"/>
        <w:pBdr>
          <w:bottom w:val="single" w:color="1B2A4A" w:sz="6" w:space="4"/>
        </w:pBdr>
        <w:spacing w:after="200" w:before="400"/>
      </w:pPr>
      <w:r>
        <w:rPr>
          <w:b/>
          <w:bCs/>
          <w:color w:val="1B2A4A"/>
          <w:sz w:val="30"/>
          <w:szCs w:val="30"/>
        </w:rPr>
        <w:t xml:space="preserve">8. Interface do Usuário</w:t>
      </w:r>
    </w:p>
    <w:p>
      <w:pPr>
        <w:pStyle w:val="Heading2"/>
        <w:spacing w:after="120" w:before="300"/>
      </w:pPr>
      <w:r>
        <w:rPr>
          <w:b/>
          <w:bCs/>
          <w:color w:val="2E6F6E"/>
          <w:sz w:val="24"/>
          <w:szCs w:val="24"/>
        </w:rPr>
        <w:t xml:space="preserve">8.1 Telas Novas (não existiam no PRD original)</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shd w:fill="1B2A4A" w:val="clear"/>
            <w:tcMar>
              <w:top w:type="dxa" w:w="80"/>
              <w:left w:type="dxa" w:w="120"/>
              <w:bottom w:type="dxa" w:w="80"/>
              <w:right w:type="dxa" w:w="120"/>
            </w:tcMar>
          </w:tcPr>
          <w:p>
            <w:pPr>
              <w:jc w:val="left"/>
            </w:pPr>
            <w:r>
              <w:rPr>
                <w:b/>
                <w:bCs/>
                <w:color w:val="FFFFFF"/>
                <w:sz w:val="19"/>
                <w:szCs w:val="19"/>
              </w:rPr>
              <w:t xml:space="preserve">Tela</w:t>
            </w:r>
          </w:p>
        </w:tc>
        <w:tc>
          <w:tcPr>
            <w:tcW w:type="dxa" w:w="6000"/>
            <w:shd w:fill="1B2A4A" w:val="clear"/>
            <w:tcMar>
              <w:top w:type="dxa" w:w="80"/>
              <w:left w:type="dxa" w:w="120"/>
              <w:bottom w:type="dxa" w:w="80"/>
              <w:right w:type="dxa" w:w="120"/>
            </w:tcMar>
          </w:tcPr>
          <w:p>
            <w:pPr>
              <w:jc w:val="left"/>
            </w:pPr>
            <w:r>
              <w:rPr>
                <w:b/>
                <w:bCs/>
                <w:color w:val="FFFFFF"/>
                <w:sz w:val="19"/>
                <w:szCs w:val="19"/>
              </w:rPr>
              <w:t xml:space="preserve">Função</w:t>
            </w:r>
          </w:p>
        </w:tc>
      </w:tr>
      <w:tr>
        <w:tc>
          <w:tcPr>
            <w:tcW w:type="dxa" w:w="2600"/>
            <w:shd w:fill="FFFFFF" w:val="clear"/>
            <w:tcMar>
              <w:top w:type="dxa" w:w="80"/>
              <w:left w:type="dxa" w:w="120"/>
              <w:bottom w:type="dxa" w:w="80"/>
              <w:right w:type="dxa" w:w="120"/>
            </w:tcMar>
          </w:tcPr>
          <w:p>
            <w:pPr>
              <w:jc w:val="left"/>
            </w:pPr>
            <w:r>
              <w:rPr>
                <w:b w:val="false"/>
                <w:bCs w:val="false"/>
                <w:color w:val="111111"/>
                <w:sz w:val="19"/>
                <w:szCs w:val="19"/>
              </w:rPr>
              <w:t xml:space="preserve">Login / Cadastro</w:t>
            </w:r>
          </w:p>
        </w:tc>
        <w:tc>
          <w:tcPr>
            <w:tcW w:type="dxa" w:w="6000"/>
            <w:shd w:fill="FFFFFF" w:val="clear"/>
            <w:tcMar>
              <w:top w:type="dxa" w:w="80"/>
              <w:left w:type="dxa" w:w="120"/>
              <w:bottom w:type="dxa" w:w="80"/>
              <w:right w:type="dxa" w:w="120"/>
            </w:tcMar>
          </w:tcPr>
          <w:p>
            <w:pPr>
              <w:jc w:val="left"/>
            </w:pPr>
            <w:r>
              <w:rPr>
                <w:b w:val="false"/>
                <w:bCs w:val="false"/>
                <w:color w:val="111111"/>
                <w:sz w:val="19"/>
                <w:szCs w:val="19"/>
              </w:rPr>
              <w:t xml:space="preserve">Autenticação via Supabase Auth (e-mail+senha ou magic link). Cadastro cria tenant automaticamente.</w:t>
            </w:r>
          </w:p>
        </w:tc>
      </w:tr>
      <w:tr>
        <w:tc>
          <w:tcPr>
            <w:tcW w:type="dxa" w:w="2600"/>
            <w:shd w:fill="F2F4F7" w:val="clear"/>
            <w:tcMar>
              <w:top w:type="dxa" w:w="80"/>
              <w:left w:type="dxa" w:w="120"/>
              <w:bottom w:type="dxa" w:w="80"/>
              <w:right w:type="dxa" w:w="120"/>
            </w:tcMar>
          </w:tcPr>
          <w:p>
            <w:pPr>
              <w:jc w:val="left"/>
            </w:pPr>
            <w:r>
              <w:rPr>
                <w:b w:val="false"/>
                <w:bCs w:val="false"/>
                <w:color w:val="111111"/>
                <w:sz w:val="19"/>
                <w:szCs w:val="19"/>
              </w:rPr>
              <w:t xml:space="preserve">Dashboard do Tenant</w:t>
            </w:r>
          </w:p>
        </w:tc>
        <w:tc>
          <w:tcPr>
            <w:tcW w:type="dxa" w:w="6000"/>
            <w:shd w:fill="F2F4F7" w:val="clear"/>
            <w:tcMar>
              <w:top w:type="dxa" w:w="80"/>
              <w:left w:type="dxa" w:w="120"/>
              <w:bottom w:type="dxa" w:w="80"/>
              <w:right w:type="dxa" w:w="120"/>
            </w:tcMar>
          </w:tcPr>
          <w:p>
            <w:pPr>
              <w:jc w:val="left"/>
            </w:pPr>
            <w:r>
              <w:rPr>
                <w:b w:val="false"/>
                <w:bCs w:val="false"/>
                <w:color w:val="111111"/>
                <w:sz w:val="19"/>
                <w:szCs w:val="19"/>
              </w:rPr>
              <w:t xml:space="preserve">Visão geral: conversões do mês, uso vs. limite do plano, últimos erros, atalho para nova conversão.</w:t>
            </w:r>
          </w:p>
        </w:tc>
      </w:tr>
      <w:tr>
        <w:tc>
          <w:tcPr>
            <w:tcW w:type="dxa" w:w="2600"/>
            <w:shd w:fill="FFFFFF" w:val="clear"/>
            <w:tcMar>
              <w:top w:type="dxa" w:w="80"/>
              <w:left w:type="dxa" w:w="120"/>
              <w:bottom w:type="dxa" w:w="80"/>
              <w:right w:type="dxa" w:w="120"/>
            </w:tcMar>
          </w:tcPr>
          <w:p>
            <w:pPr>
              <w:jc w:val="left"/>
            </w:pPr>
            <w:r>
              <w:rPr>
                <w:b w:val="false"/>
                <w:bCs w:val="false"/>
                <w:color w:val="111111"/>
                <w:sz w:val="19"/>
                <w:szCs w:val="19"/>
              </w:rPr>
              <w:t xml:space="preserve">Configuração de Layout (Wizard)</w:t>
            </w:r>
          </w:p>
        </w:tc>
        <w:tc>
          <w:tcPr>
            <w:tcW w:type="dxa" w:w="6000"/>
            <w:shd w:fill="FFFFFF" w:val="clear"/>
            <w:tcMar>
              <w:top w:type="dxa" w:w="80"/>
              <w:left w:type="dxa" w:w="120"/>
              <w:bottom w:type="dxa" w:w="80"/>
              <w:right w:type="dxa" w:w="120"/>
            </w:tcMar>
          </w:tcPr>
          <w:p>
            <w:pPr>
              <w:jc w:val="left"/>
            </w:pPr>
            <w:r>
              <w:rPr>
                <w:b w:val="false"/>
                <w:bCs w:val="false"/>
                <w:color w:val="111111"/>
                <w:sz w:val="19"/>
                <w:szCs w:val="19"/>
              </w:rPr>
              <w:t xml:space="preserve">Assistente passo a passo: upload de uma planilha modelo → sistema sugere abas detectadas → usuário mapeia aba → linha de cabeçalho → colunas → código de evento correspondente. Sem escrever código.</w:t>
            </w:r>
          </w:p>
        </w:tc>
      </w:tr>
      <w:tr>
        <w:tc>
          <w:tcPr>
            <w:tcW w:type="dxa" w:w="2600"/>
            <w:shd w:fill="F2F4F7" w:val="clear"/>
            <w:tcMar>
              <w:top w:type="dxa" w:w="80"/>
              <w:left w:type="dxa" w:w="120"/>
              <w:bottom w:type="dxa" w:w="80"/>
              <w:right w:type="dxa" w:w="120"/>
            </w:tcMar>
          </w:tcPr>
          <w:p>
            <w:pPr>
              <w:jc w:val="left"/>
            </w:pPr>
            <w:r>
              <w:rPr>
                <w:b w:val="false"/>
                <w:bCs w:val="false"/>
                <w:color w:val="111111"/>
                <w:sz w:val="19"/>
                <w:szCs w:val="19"/>
              </w:rPr>
              <w:t xml:space="preserve">Histórico de Conversões</w:t>
            </w:r>
          </w:p>
        </w:tc>
        <w:tc>
          <w:tcPr>
            <w:tcW w:type="dxa" w:w="6000"/>
            <w:shd w:fill="F2F4F7" w:val="clear"/>
            <w:tcMar>
              <w:top w:type="dxa" w:w="80"/>
              <w:left w:type="dxa" w:w="120"/>
              <w:bottom w:type="dxa" w:w="80"/>
              <w:right w:type="dxa" w:w="120"/>
            </w:tcMar>
          </w:tcPr>
          <w:p>
            <w:pPr>
              <w:jc w:val="left"/>
            </w:pPr>
            <w:r>
              <w:rPr>
                <w:b w:val="false"/>
                <w:bCs w:val="false"/>
                <w:color w:val="111111"/>
                <w:sz w:val="19"/>
                <w:szCs w:val="19"/>
              </w:rPr>
              <w:t xml:space="preserve">Lista pesquisável de conversões passadas, com filtros por período, status e layout, e opção de re-download do CSV (se ainda em retenção) ou reprocessamento.</w:t>
            </w:r>
          </w:p>
        </w:tc>
      </w:tr>
      <w:tr>
        <w:tc>
          <w:tcPr>
            <w:tcW w:type="dxa" w:w="2600"/>
            <w:shd w:fill="FFFFFF" w:val="clear"/>
            <w:tcMar>
              <w:top w:type="dxa" w:w="80"/>
              <w:left w:type="dxa" w:w="120"/>
              <w:bottom w:type="dxa" w:w="80"/>
              <w:right w:type="dxa" w:w="120"/>
            </w:tcMar>
          </w:tcPr>
          <w:p>
            <w:pPr>
              <w:jc w:val="left"/>
            </w:pPr>
            <w:r>
              <w:rPr>
                <w:b w:val="false"/>
                <w:bCs w:val="false"/>
                <w:color w:val="111111"/>
                <w:sz w:val="19"/>
                <w:szCs w:val="19"/>
              </w:rPr>
              <w:t xml:space="preserve">Billing / Plano</w:t>
            </w:r>
          </w:p>
        </w:tc>
        <w:tc>
          <w:tcPr>
            <w:tcW w:type="dxa" w:w="6000"/>
            <w:shd w:fill="FFFFFF" w:val="clear"/>
            <w:tcMar>
              <w:top w:type="dxa" w:w="80"/>
              <w:left w:type="dxa" w:w="120"/>
              <w:bottom w:type="dxa" w:w="80"/>
              <w:right w:type="dxa" w:w="120"/>
            </w:tcMar>
          </w:tcPr>
          <w:p>
            <w:pPr>
              <w:jc w:val="left"/>
            </w:pPr>
            <w:r>
              <w:rPr>
                <w:b w:val="false"/>
                <w:bCs w:val="false"/>
                <w:color w:val="111111"/>
                <w:sz w:val="19"/>
                <w:szCs w:val="19"/>
              </w:rPr>
              <w:t xml:space="preserve">Tela de plano atual, uso do mês, upgrade/downgrade, portal de cobrança Stripe.</w:t>
            </w:r>
          </w:p>
        </w:tc>
      </w:tr>
      <w:tr>
        <w:tc>
          <w:tcPr>
            <w:tcW w:type="dxa" w:w="2600"/>
            <w:shd w:fill="F2F4F7" w:val="clear"/>
            <w:tcMar>
              <w:top w:type="dxa" w:w="80"/>
              <w:left w:type="dxa" w:w="120"/>
              <w:bottom w:type="dxa" w:w="80"/>
              <w:right w:type="dxa" w:w="120"/>
            </w:tcMar>
          </w:tcPr>
          <w:p>
            <w:pPr>
              <w:jc w:val="left"/>
            </w:pPr>
            <w:r>
              <w:rPr>
                <w:b w:val="false"/>
                <w:bCs w:val="false"/>
                <w:color w:val="111111"/>
                <w:sz w:val="19"/>
                <w:szCs w:val="19"/>
              </w:rPr>
              <w:t xml:space="preserve">Administração de Usuários</w:t>
            </w:r>
          </w:p>
        </w:tc>
        <w:tc>
          <w:tcPr>
            <w:tcW w:type="dxa" w:w="6000"/>
            <w:shd w:fill="F2F4F7" w:val="clear"/>
            <w:tcMar>
              <w:top w:type="dxa" w:w="80"/>
              <w:left w:type="dxa" w:w="120"/>
              <w:bottom w:type="dxa" w:w="80"/>
              <w:right w:type="dxa" w:w="120"/>
            </w:tcMar>
          </w:tcPr>
          <w:p>
            <w:pPr>
              <w:jc w:val="left"/>
            </w:pPr>
            <w:r>
              <w:rPr>
                <w:b w:val="false"/>
                <w:bCs w:val="false"/>
                <w:color w:val="111111"/>
                <w:sz w:val="19"/>
                <w:szCs w:val="19"/>
              </w:rPr>
              <w:t xml:space="preserve">Convite de usuários adicionais do mesmo tenant, definição de papel (admin/operador).</w:t>
            </w:r>
          </w:p>
        </w:tc>
      </w:tr>
    </w:tbl>
    <w:p>
      <w:pPr>
        <w:pStyle w:val="Heading2"/>
        <w:spacing w:after="120" w:before="300"/>
      </w:pPr>
      <w:r>
        <w:rPr>
          <w:b/>
          <w:bCs/>
          <w:color w:val="2E6F6E"/>
          <w:sz w:val="24"/>
          <w:szCs w:val="24"/>
        </w:rPr>
        <w:t xml:space="preserve">8.2 Telas do Fluxo de Conversão (herdadas do PRD original, adaptadas)</w:t>
      </w:r>
    </w:p>
    <w:p>
      <w:pPr>
        <w:pStyle w:val="Heading3"/>
        <w:spacing w:after="100" w:before="200"/>
      </w:pPr>
      <w:r>
        <w:rPr>
          <w:b/>
          <w:bCs/>
          <w:color w:val="111111"/>
          <w:sz w:val="22"/>
          <w:szCs w:val="22"/>
        </w:rPr>
        <w:t xml:space="preserve">Header</w:t>
      </w:r>
    </w:p>
    <w:p>
      <w:pPr>
        <w:pStyle w:val="ListParagraph"/>
        <w:numPr>
          <w:ilvl w:val="0"/>
          <w:numId w:val="3"/>
        </w:numPr>
        <w:spacing w:after="60" w:line="290"/>
      </w:pPr>
      <w:r>
        <w:rPr>
          <w:sz w:val="21"/>
          <w:szCs w:val="21"/>
        </w:rPr>
        <w:t xml:space="preserve">Logo e nome da aplicação, indicador do tenant/empresa logada, alternador Light/Dark Mode.</w:t>
      </w:r>
    </w:p>
    <w:p>
      <w:pPr>
        <w:pStyle w:val="ListParagraph"/>
        <w:numPr>
          <w:ilvl w:val="0"/>
          <w:numId w:val="3"/>
        </w:numPr>
        <w:spacing w:after="60" w:line="290"/>
      </w:pPr>
      <w:r>
        <w:rPr>
          <w:sz w:val="21"/>
          <w:szCs w:val="21"/>
        </w:rPr>
        <w:t xml:space="preserve">Layout moderno inspirado em Stripe, Linear e Vercel — mantido do original.</w:t>
      </w:r>
    </w:p>
    <w:p>
      <w:pPr>
        <w:pStyle w:val="Heading3"/>
        <w:spacing w:after="100" w:before="200"/>
      </w:pPr>
      <w:r>
        <w:rPr>
          <w:b/>
          <w:bCs/>
          <w:color w:val="111111"/>
          <w:sz w:val="22"/>
          <w:szCs w:val="22"/>
        </w:rPr>
        <w:t xml:space="preserve">Área Principal — Upload</w:t>
      </w:r>
    </w:p>
    <w:p>
      <w:pPr>
        <w:pStyle w:val="ListParagraph"/>
        <w:numPr>
          <w:ilvl w:val="0"/>
          <w:numId w:val="3"/>
        </w:numPr>
        <w:spacing w:after="60" w:line="290"/>
      </w:pPr>
      <w:r>
        <w:rPr>
          <w:sz w:val="21"/>
          <w:szCs w:val="21"/>
        </w:rPr>
        <w:t xml:space="preserve">Drag and drop central, aceita apenas .xlsx.</w:t>
      </w:r>
    </w:p>
    <w:p>
      <w:pPr>
        <w:pStyle w:val="ListParagraph"/>
        <w:numPr>
          <w:ilvl w:val="0"/>
          <w:numId w:val="3"/>
        </w:numPr>
        <w:spacing w:after="60" w:line="290"/>
      </w:pPr>
      <w:r>
        <w:rPr>
          <w:sz w:val="21"/>
          <w:szCs w:val="21"/>
        </w:rPr>
        <w:t xml:space="preserve">Seletor de layout configurado (caso o tenant tenha mais de um cliente/layout cadastrado — cenário do BPO).</w:t>
      </w:r>
    </w:p>
    <w:p>
      <w:pPr>
        <w:pStyle w:val="ListParagraph"/>
        <w:numPr>
          <w:ilvl w:val="0"/>
          <w:numId w:val="3"/>
        </w:numPr>
        <w:spacing w:after="60" w:line="290"/>
      </w:pPr>
      <w:r>
        <w:rPr>
          <w:sz w:val="21"/>
          <w:szCs w:val="21"/>
        </w:rPr>
        <w:t xml:space="preserve">Destaque visual ao arrastar arquivo; botão alternativo "Selecionar Arquivo".</w:t>
      </w:r>
    </w:p>
    <w:p>
      <w:pPr>
        <w:pStyle w:val="ListParagraph"/>
        <w:numPr>
          <w:ilvl w:val="0"/>
          <w:numId w:val="3"/>
        </w:numPr>
        <w:spacing w:after="60" w:line="290"/>
      </w:pPr>
      <w:r>
        <w:rPr>
          <w:sz w:val="21"/>
          <w:szCs w:val="21"/>
        </w:rPr>
        <w:t xml:space="preserve">Após seleção, exibir: nome do arquivo, tamanho, data da última modificação.</w:t>
      </w:r>
    </w:p>
    <w:p>
      <w:pPr>
        <w:pStyle w:val="Heading3"/>
        <w:spacing w:after="100" w:before="200"/>
      </w:pPr>
      <w:r>
        <w:rPr>
          <w:b/>
          <w:bCs/>
          <w:color w:val="111111"/>
          <w:sz w:val="22"/>
          <w:szCs w:val="22"/>
        </w:rPr>
        <w:t xml:space="preserve">Processamento</w:t>
      </w:r>
    </w:p>
    <w:p>
      <w:pPr>
        <w:pStyle w:val="ListParagraph"/>
        <w:numPr>
          <w:ilvl w:val="0"/>
          <w:numId w:val="3"/>
        </w:numPr>
        <w:spacing w:after="60" w:line="290"/>
      </w:pPr>
      <w:r>
        <w:rPr>
          <w:sz w:val="21"/>
          <w:szCs w:val="21"/>
        </w:rPr>
        <w:t xml:space="preserve">Barra de progresso, spinner e status textual: "Lendo planilha..." → "Validando abas..." → "Processando registros..." → "Gerando CSV..." → "Finalizando..."</w:t>
      </w:r>
    </w:p>
    <w:p>
      <w:pPr>
        <w:pStyle w:val="Heading3"/>
        <w:spacing w:after="100" w:before="200"/>
      </w:pPr>
      <w:r>
        <w:rPr>
          <w:b/>
          <w:bCs/>
          <w:color w:val="111111"/>
          <w:sz w:val="22"/>
          <w:szCs w:val="22"/>
        </w:rPr>
        <w:t xml:space="preserve">Resumo</w:t>
      </w:r>
    </w:p>
    <w:p>
      <w:pPr>
        <w:pStyle w:val="ListParagraph"/>
        <w:numPr>
          <w:ilvl w:val="0"/>
          <w:numId w:val="3"/>
        </w:numPr>
        <w:spacing w:after="60" w:line="290"/>
      </w:pPr>
      <w:r>
        <w:rPr>
          <w:sz w:val="21"/>
          <w:szCs w:val="21"/>
        </w:rPr>
        <w:t xml:space="preserve">Cards com: funcionários encontrados, eventos gerados, valor total financeiro, total de horas convertidas, tempo de processamento.</w:t>
      </w:r>
    </w:p>
    <w:p>
      <w:pPr>
        <w:pStyle w:val="Heading3"/>
        <w:spacing w:after="100" w:before="200"/>
      </w:pPr>
      <w:r>
        <w:rPr>
          <w:b/>
          <w:bCs/>
          <w:color w:val="111111"/>
          <w:sz w:val="22"/>
          <w:szCs w:val="22"/>
        </w:rPr>
        <w:t xml:space="preserve">Preview</w:t>
      </w:r>
    </w:p>
    <w:p>
      <w:pPr>
        <w:pStyle w:val="ListParagraph"/>
        <w:numPr>
          <w:ilvl w:val="0"/>
          <w:numId w:val="3"/>
        </w:numPr>
        <w:spacing w:after="60" w:line="290"/>
      </w:pPr>
      <w:r>
        <w:rPr>
          <w:sz w:val="21"/>
          <w:szCs w:val="21"/>
        </w:rPr>
        <w:t xml:space="preserve">Primeiros 20 registros processados, colunas: Empregado, Evento, Referência, Valor — com busca e ordenação.</w:t>
      </w:r>
    </w:p>
    <w:p>
      <w:pPr>
        <w:pStyle w:val="Heading3"/>
        <w:spacing w:after="100" w:before="200"/>
      </w:pPr>
      <w:r>
        <w:rPr>
          <w:b/>
          <w:bCs/>
          <w:color w:val="111111"/>
          <w:sz w:val="22"/>
          <w:szCs w:val="22"/>
        </w:rPr>
        <w:t xml:space="preserve">Botões de Ação</w:t>
      </w:r>
    </w:p>
    <w:p>
      <w:pPr>
        <w:pStyle w:val="ListParagraph"/>
        <w:numPr>
          <w:ilvl w:val="0"/>
          <w:numId w:val="3"/>
        </w:numPr>
        <w:spacing w:after="60" w:line="290"/>
      </w:pPr>
      <w:r>
        <w:rPr>
          <w:sz w:val="21"/>
          <w:szCs w:val="21"/>
        </w:rPr>
        <w:t xml:space="preserve">Processar · Limpar · Baixar CSV · Novo Arquivo.</w:t>
      </w:r>
    </w:p>
    <w:p>
      <w:pPr>
        <w:pStyle w:val="Heading1"/>
        <w:pBdr>
          <w:bottom w:val="single" w:color="1B2A4A" w:sz="6" w:space="4"/>
        </w:pBdr>
        <w:spacing w:after="200" w:before="400"/>
      </w:pPr>
      <w:r>
        <w:rPr>
          <w:b/>
          <w:bCs/>
          <w:color w:val="1B2A4A"/>
          <w:sz w:val="30"/>
          <w:szCs w:val="30"/>
        </w:rPr>
        <w:t xml:space="preserve">9. Motor de Regras Configurável (núcleo do produto)</w:t>
      </w:r>
    </w:p>
    <w:p>
      <w:pPr>
        <w:pBdr>
          <w:top w:val="single" w:color="E5E7EB" w:sz="2"/>
          <w:bottom w:val="single" w:color="E5E7EB" w:sz="2"/>
          <w:left w:val="single" w:color="2E6F6E" w:sz="24"/>
          <w:right w:val="single" w:color="E5E7EB" w:sz="2"/>
        </w:pBdr>
        <w:shd w:fill="F2F4F7" w:val="clear"/>
        <w:spacing w:after="200" w:before="80"/>
        <w:ind w:left="100" w:right="100"/>
      </w:pPr>
      <w:r>
        <w:rPr>
          <w:b/>
          <w:bCs/>
          <w:color w:val="2E6F6E"/>
          <w:sz w:val="21"/>
          <w:szCs w:val="21"/>
        </w:rPr>
        <w:t xml:space="preserve">Por que isso existe: </w:t>
      </w:r>
      <w:r>
        <w:rPr>
          <w:sz w:val="21"/>
          <w:szCs w:val="21"/>
        </w:rPr>
        <w:t xml:space="preserve">no PRD original, abas ("Comissão Salao", "Comissão Cozinha", "Hora extra"), posição do cabeçalho e códigos de evento (659, 330, 060, 905, 050, 061) estavam hardcoded no código-fonte. Isso trava o produto em um único cliente. O motor de regras move essa lógica para dado configurável por tenant.</w:t>
      </w:r>
    </w:p>
    <w:p>
      <w:pPr>
        <w:pStyle w:val="Heading2"/>
        <w:spacing w:after="120" w:before="300"/>
      </w:pPr>
      <w:r>
        <w:rPr>
          <w:b/>
          <w:bCs/>
          <w:color w:val="2E6F6E"/>
          <w:sz w:val="24"/>
          <w:szCs w:val="24"/>
        </w:rPr>
        <w:t xml:space="preserve">9.1 Estrutura da Configuração (config_json por layout)</w:t>
      </w:r>
    </w:p>
    <w:p>
      <w:pPr>
        <w:pBdr>
          <w:top w:val="single" w:color="1E1E1E" w:sz="2"/>
          <w:bottom w:val="single" w:color="1E1E1E" w:sz="2"/>
          <w:left w:val="single" w:color="1E1E1E" w:sz="2"/>
          <w:right w:val="single" w:color="1E1E1E" w:sz="2"/>
        </w:pBdr>
        <w:shd w:fill="1E1E1E" w:val="clear"/>
        <w:spacing w:after="140" w:before="60"/>
      </w:pPr>
      <w:r>
        <w:rPr>
          <w:rFonts w:ascii="Consolas" w:cs="Consolas" w:eastAsia="Consolas" w:hAnsi="Consolas"/>
          <w:color w:val="D4D4D4"/>
          <w:sz w:val="19"/>
          <w:szCs w:val="19"/>
        </w:rPr>
        <w:t xml:space="preserve">{</w:t>
      </w:r>
      <w:r>
        <w:br/>
        <w:t xml:space="preserve"/>
      </w:r>
      <w:r>
        <w:rPr>
          <w:rFonts w:ascii="Consolas" w:cs="Consolas" w:eastAsia="Consolas" w:hAnsi="Consolas"/>
          <w:color w:val="D4D4D4"/>
          <w:sz w:val="19"/>
          <w:szCs w:val="19"/>
        </w:rPr>
        <w:t xml:space="preserve">  "abas_obrigatorias": ["Comissão Salao", "Comissão Cozinha", "Hora extra"],</w:t>
      </w:r>
      <w:r>
        <w:br/>
        <w:t xml:space="preserve"/>
      </w:r>
      <w:r>
        <w:rPr>
          <w:rFonts w:ascii="Consolas" w:cs="Consolas" w:eastAsia="Consolas" w:hAnsi="Consolas"/>
          <w:color w:val="D4D4D4"/>
          <w:sz w:val="19"/>
          <w:szCs w:val="19"/>
        </w:rPr>
        <w:t xml:space="preserve">  "abas": {</w:t>
      </w:r>
      <w:r>
        <w:br/>
        <w:t xml:space="preserve"/>
      </w:r>
      <w:r>
        <w:rPr>
          <w:rFonts w:ascii="Consolas" w:cs="Consolas" w:eastAsia="Consolas" w:hAnsi="Consolas"/>
          <w:color w:val="D4D4D4"/>
          <w:sz w:val="19"/>
          <w:szCs w:val="19"/>
        </w:rPr>
        <w:t xml:space="preserve">    "Comissão Salao": {</w:t>
      </w:r>
      <w:r>
        <w:br/>
        <w:t xml:space="preserve"/>
      </w:r>
      <w:r>
        <w:rPr>
          <w:rFonts w:ascii="Consolas" w:cs="Consolas" w:eastAsia="Consolas" w:hAnsi="Consolas"/>
          <w:color w:val="D4D4D4"/>
          <w:sz w:val="19"/>
          <w:szCs w:val="19"/>
        </w:rPr>
        <w:t xml:space="preserve">      "linha_cabecalho_marcador": "NUM. FUNC",</w:t>
      </w:r>
      <w:r>
        <w:br/>
        <w:t xml:space="preserve"/>
      </w:r>
      <w:r>
        <w:rPr>
          <w:rFonts w:ascii="Consolas" w:cs="Consolas" w:eastAsia="Consolas" w:hAnsi="Consolas"/>
          <w:color w:val="D4D4D4"/>
          <w:sz w:val="19"/>
          <w:szCs w:val="19"/>
        </w:rPr>
        <w:t xml:space="preserve">      "coluna_matricula": "NUM. FUNC",</w:t>
      </w:r>
      <w:r>
        <w:br/>
        <w:t xml:space="preserve"/>
      </w:r>
      <w:r>
        <w:rPr>
          <w:rFonts w:ascii="Consolas" w:cs="Consolas" w:eastAsia="Consolas" w:hAnsi="Consolas"/>
          <w:color w:val="D4D4D4"/>
          <w:sz w:val="19"/>
          <w:szCs w:val="19"/>
        </w:rPr>
        <w:t xml:space="preserve">      "formato_matricula": "padLeft(6)",</w:t>
      </w:r>
      <w:r>
        <w:br/>
        <w:t xml:space="preserve"/>
      </w:r>
      <w:r>
        <w:rPr>
          <w:rFonts w:ascii="Consolas" w:cs="Consolas" w:eastAsia="Consolas" w:hAnsi="Consolas"/>
          <w:color w:val="D4D4D4"/>
          <w:sz w:val="19"/>
          <w:szCs w:val="19"/>
        </w:rPr>
        <w:t xml:space="preserve">      "eventos": [</w:t>
      </w:r>
      <w:r>
        <w:br/>
        <w:t xml:space="preserve"/>
      </w:r>
      <w:r>
        <w:rPr>
          <w:rFonts w:ascii="Consolas" w:cs="Consolas" w:eastAsia="Consolas" w:hAnsi="Consolas"/>
          <w:color w:val="D4D4D4"/>
          <w:sz w:val="19"/>
          <w:szCs w:val="19"/>
        </w:rPr>
        <w:t xml:space="preserve">        { "coluna_origem": "VALOR A PAGAR", "codigo_evento": "659", "condicao": "&gt; 0" },</w:t>
      </w:r>
      <w:r>
        <w:br/>
        <w:t xml:space="preserve"/>
      </w:r>
      <w:r>
        <w:rPr>
          <w:rFonts w:ascii="Consolas" w:cs="Consolas" w:eastAsia="Consolas" w:hAnsi="Consolas"/>
          <w:color w:val="D4D4D4"/>
          <w:sz w:val="19"/>
          <w:szCs w:val="19"/>
        </w:rPr>
        <w:t xml:space="preserve">        { "coluna_origem": "Vales a descontar", "codigo_evento": "330", "condicao": "&gt; 0" }</w:t>
      </w:r>
      <w:r>
        <w:br/>
        <w:t xml:space="preserve"/>
      </w:r>
      <w:r>
        <w:rPr>
          <w:rFonts w:ascii="Consolas" w:cs="Consolas" w:eastAsia="Consolas" w:hAnsi="Consolas"/>
          <w:color w:val="D4D4D4"/>
          <w:sz w:val="19"/>
          <w:szCs w:val="19"/>
        </w:rPr>
        <w:t xml:space="preserve">      ]</w:t>
      </w:r>
      <w:r>
        <w:br/>
        <w:t xml:space="preserve"/>
      </w:r>
      <w:r>
        <w:rPr>
          <w:rFonts w:ascii="Consolas" w:cs="Consolas" w:eastAsia="Consolas" w:hAnsi="Consolas"/>
          <w:color w:val="D4D4D4"/>
          <w:sz w:val="19"/>
          <w:szCs w:val="19"/>
        </w:rPr>
        <w:t xml:space="preserve">    },</w:t>
      </w:r>
      <w:r>
        <w:br/>
        <w:t xml:space="preserve"/>
      </w:r>
      <w:r>
        <w:rPr>
          <w:rFonts w:ascii="Consolas" w:cs="Consolas" w:eastAsia="Consolas" w:hAnsi="Consolas"/>
          <w:color w:val="D4D4D4"/>
          <w:sz w:val="19"/>
          <w:szCs w:val="19"/>
        </w:rPr>
        <w:t xml:space="preserve">    "Hora extra": {</w:t>
      </w:r>
      <w:r>
        <w:br/>
        <w:t xml:space="preserve"/>
      </w:r>
      <w:r>
        <w:rPr>
          <w:rFonts w:ascii="Consolas" w:cs="Consolas" w:eastAsia="Consolas" w:hAnsi="Consolas"/>
          <w:color w:val="D4D4D4"/>
          <w:sz w:val="19"/>
          <w:szCs w:val="19"/>
        </w:rPr>
        <w:t xml:space="preserve">      "linha_cabecalho_fixa": 2,</w:t>
      </w:r>
      <w:r>
        <w:br/>
        <w:t xml:space="preserve"/>
      </w:r>
      <w:r>
        <w:rPr>
          <w:rFonts w:ascii="Consolas" w:cs="Consolas" w:eastAsia="Consolas" w:hAnsi="Consolas"/>
          <w:color w:val="D4D4D4"/>
          <w:sz w:val="19"/>
          <w:szCs w:val="19"/>
        </w:rPr>
        <w:t xml:space="preserve">      "limite_colunas": 7,</w:t>
      </w:r>
      <w:r>
        <w:br/>
        <w:t xml:space="preserve"/>
      </w:r>
      <w:r>
        <w:rPr>
          <w:rFonts w:ascii="Consolas" w:cs="Consolas" w:eastAsia="Consolas" w:hAnsi="Consolas"/>
          <w:color w:val="D4D4D4"/>
          <w:sz w:val="19"/>
          <w:szCs w:val="19"/>
        </w:rPr>
        <w:t xml:space="preserve">      "coluna_matricula": "Codigo",</w:t>
      </w:r>
      <w:r>
        <w:br/>
        <w:t xml:space="preserve"/>
      </w:r>
      <w:r>
        <w:rPr>
          <w:rFonts w:ascii="Consolas" w:cs="Consolas" w:eastAsia="Consolas" w:hAnsi="Consolas"/>
          <w:color w:val="D4D4D4"/>
          <w:sz w:val="19"/>
          <w:szCs w:val="19"/>
        </w:rPr>
        <w:t xml:space="preserve">      "formato_matricula": "padLeft(6)",</w:t>
      </w:r>
      <w:r>
        <w:br/>
        <w:t xml:space="preserve"/>
      </w:r>
      <w:r>
        <w:rPr>
          <w:rFonts w:ascii="Consolas" w:cs="Consolas" w:eastAsia="Consolas" w:hAnsi="Consolas"/>
          <w:color w:val="D4D4D4"/>
          <w:sz w:val="19"/>
          <w:szCs w:val="19"/>
        </w:rPr>
        <w:t xml:space="preserve">      "conversao_horas": { "formato_entrada": "Xhs Ymin", "formula": "horas + minutos/60" },</w:t>
      </w:r>
      <w:r>
        <w:br/>
        <w:t xml:space="preserve"/>
      </w:r>
      <w:r>
        <w:rPr>
          <w:rFonts w:ascii="Consolas" w:cs="Consolas" w:eastAsia="Consolas" w:hAnsi="Consolas"/>
          <w:color w:val="D4D4D4"/>
          <w:sz w:val="19"/>
          <w:szCs w:val="19"/>
        </w:rPr>
        <w:t xml:space="preserve">      "eventos": [</w:t>
      </w:r>
      <w:r>
        <w:br/>
        <w:t xml:space="preserve"/>
      </w:r>
      <w:r>
        <w:rPr>
          <w:rFonts w:ascii="Consolas" w:cs="Consolas" w:eastAsia="Consolas" w:hAnsi="Consolas"/>
          <w:color w:val="D4D4D4"/>
          <w:sz w:val="19"/>
          <w:szCs w:val="19"/>
        </w:rPr>
        <w:t xml:space="preserve">        { "coluna_origem": "HORAS EXTRA NORMAL", "codigo_evento": "060" },</w:t>
      </w:r>
      <w:r>
        <w:br/>
        <w:t xml:space="preserve"/>
      </w:r>
      <w:r>
        <w:rPr>
          <w:rFonts w:ascii="Consolas" w:cs="Consolas" w:eastAsia="Consolas" w:hAnsi="Consolas"/>
          <w:color w:val="D4D4D4"/>
          <w:sz w:val="19"/>
          <w:szCs w:val="19"/>
        </w:rPr>
        <w:t xml:space="preserve">        { "coluna_origem": "HORA EXTRA COM ADICIONAL NOTURNO", "codigo_evento": "905" },</w:t>
      </w:r>
      <w:r>
        <w:br/>
        <w:t xml:space="preserve"/>
      </w:r>
      <w:r>
        <w:rPr>
          <w:rFonts w:ascii="Consolas" w:cs="Consolas" w:eastAsia="Consolas" w:hAnsi="Consolas"/>
          <w:color w:val="D4D4D4"/>
          <w:sz w:val="19"/>
          <w:szCs w:val="19"/>
        </w:rPr>
        <w:t xml:space="preserve">        { "coluna_origem": "SÓ ADICIONAL NOTURNO", "codigo_evento": "050" },</w:t>
      </w:r>
      <w:r>
        <w:br/>
        <w:t xml:space="preserve"/>
      </w:r>
      <w:r>
        <w:rPr>
          <w:rFonts w:ascii="Consolas" w:cs="Consolas" w:eastAsia="Consolas" w:hAnsi="Consolas"/>
          <w:color w:val="D4D4D4"/>
          <w:sz w:val="19"/>
          <w:szCs w:val="19"/>
        </w:rPr>
        <w:t xml:space="preserve">        { "coluna_origem": "FERIADO", "codigo_evento": "061" }</w:t>
      </w:r>
      <w:r>
        <w:br/>
        <w:t xml:space="preserve"/>
      </w:r>
      <w:r>
        <w:rPr>
          <w:rFonts w:ascii="Consolas" w:cs="Consolas" w:eastAsia="Consolas" w:hAnsi="Consolas"/>
          <w:color w:val="D4D4D4"/>
          <w:sz w:val="19"/>
          <w:szCs w:val="19"/>
        </w:rPr>
        <w:t xml:space="preserve">      ]</w:t>
      </w:r>
      <w:r>
        <w:br/>
        <w:t xml:space="preserve"/>
      </w:r>
      <w:r>
        <w:rPr>
          <w:rFonts w:ascii="Consolas" w:cs="Consolas" w:eastAsia="Consolas" w:hAnsi="Consolas"/>
          <w:color w:val="D4D4D4"/>
          <w:sz w:val="19"/>
          <w:szCs w:val="19"/>
        </w:rPr>
        <w:t xml:space="preserve">    }</w:t>
      </w:r>
      <w:r>
        <w:br/>
        <w:t xml:space="preserve"/>
      </w:r>
      <w:r>
        <w:rPr>
          <w:rFonts w:ascii="Consolas" w:cs="Consolas" w:eastAsia="Consolas" w:hAnsi="Consolas"/>
          <w:color w:val="D4D4D4"/>
          <w:sz w:val="19"/>
          <w:szCs w:val="19"/>
        </w:rPr>
        <w:t xml:space="preserve">  }</w:t>
      </w:r>
      <w:r>
        <w:br/>
        <w:t xml:space="preserve"/>
      </w:r>
      <w:r>
        <w:rPr>
          <w:rFonts w:ascii="Consolas" w:cs="Consolas" w:eastAsia="Consolas" w:hAnsi="Consolas"/>
          <w:color w:val="D4D4D4"/>
          <w:sz w:val="19"/>
          <w:szCs w:val="19"/>
        </w:rPr>
        <w:t xml:space="preserve">}</w:t>
      </w:r>
    </w:p>
    <w:p>
      <w:pPr>
        <w:spacing w:after="140" w:line="300"/>
      </w:pPr>
      <w:r>
        <w:rPr>
          <w:sz w:val="21"/>
          <w:szCs w:val="21"/>
        </w:rPr>
        <w:t xml:space="preserve">Este JSON é gerado pelo Wizard de Configuração (seção 8.1) — o usuário nunca edita JSON manualmente na V1. O motor de processamento (services/PayrollProcessor.ts) lê esta configuração em tempo de execução em vez de ter as regras fixas no código.</w:t>
      </w:r>
    </w:p>
    <w:p>
      <w:pPr>
        <w:pStyle w:val="Heading2"/>
        <w:spacing w:after="120" w:before="300"/>
      </w:pPr>
      <w:r>
        <w:rPr>
          <w:b/>
          <w:bCs/>
          <w:color w:val="2E6F6E"/>
          <w:sz w:val="24"/>
          <w:szCs w:val="24"/>
        </w:rPr>
        <w:t xml:space="preserve">9.2 Regras Herdadas do Layout Original (usadas como template pré-cadastrado)</w:t>
      </w:r>
    </w:p>
    <w:p>
      <w:pPr>
        <w:spacing w:after="140" w:line="300"/>
      </w:pPr>
      <w:r>
        <w:rPr>
          <w:sz w:val="21"/>
          <w:szCs w:val="21"/>
        </w:rPr>
        <w:t xml:space="preserve">O layout descrito no PRD original é preservado como "template de partida" oferecido no Wizard — reduz fricção para o primeiro cliente e serve de exemplo de configuração para novos tenants.</w:t>
      </w:r>
    </w:p>
    <w:p>
      <w:pPr>
        <w:pStyle w:val="Heading3"/>
        <w:spacing w:after="100" w:before="200"/>
      </w:pPr>
      <w:r>
        <w:rPr>
          <w:b/>
          <w:bCs/>
          <w:color w:val="111111"/>
          <w:sz w:val="22"/>
          <w:szCs w:val="22"/>
        </w:rPr>
        <w:t xml:space="preserve">Localização do Cabeçalho</w:t>
      </w:r>
    </w:p>
    <w:p>
      <w:pPr>
        <w:spacing w:after="140" w:line="300"/>
      </w:pPr>
      <w:r>
        <w:rPr>
          <w:sz w:val="21"/>
          <w:szCs w:val="21"/>
        </w:rPr>
        <w:t xml:space="preserve">Percorrer as linhas até localizar o marcador configurado (ex.: "NUM. FUNC"). Essa linha é o cabeçalho. Alternativa: linha de cabeçalho fixa (ex.: aba Hora Extra, sempre linha 2), também configurável.</w:t>
      </w:r>
    </w:p>
    <w:p>
      <w:pPr>
        <w:pStyle w:val="Heading3"/>
        <w:spacing w:after="100" w:before="200"/>
      </w:pPr>
      <w:r>
        <w:rPr>
          <w:b/>
          <w:bCs/>
          <w:color w:val="111111"/>
          <w:sz w:val="22"/>
          <w:szCs w:val="22"/>
        </w:rPr>
        <w:t xml:space="preserve">Filtragem</w:t>
      </w:r>
    </w:p>
    <w:p>
      <w:pPr>
        <w:pStyle w:val="ListParagraph"/>
        <w:numPr>
          <w:ilvl w:val="0"/>
          <w:numId w:val="3"/>
        </w:numPr>
        <w:spacing w:after="60" w:line="290"/>
      </w:pPr>
      <w:r>
        <w:rPr>
          <w:sz w:val="21"/>
          <w:szCs w:val="21"/>
        </w:rPr>
        <w:t xml:space="preserve">Ignorar linhas onde a coluna de matrícula estiver vazia.</w:t>
      </w:r>
    </w:p>
    <w:p>
      <w:pPr>
        <w:pStyle w:val="Heading3"/>
        <w:spacing w:after="100" w:before="200"/>
      </w:pPr>
      <w:r>
        <w:rPr>
          <w:b/>
          <w:bCs/>
          <w:color w:val="111111"/>
          <w:sz w:val="22"/>
          <w:szCs w:val="22"/>
        </w:rPr>
        <w:t xml:space="preserve">Formatação de Matrícula</w:t>
      </w:r>
    </w:p>
    <w:p>
      <w:pPr>
        <w:pStyle w:val="ListParagraph"/>
        <w:numPr>
          <w:ilvl w:val="0"/>
          <w:numId w:val="3"/>
        </w:numPr>
        <w:spacing w:after="60" w:line="290"/>
      </w:pPr>
      <w:r>
        <w:rPr>
          <w:sz w:val="21"/>
          <w:szCs w:val="21"/>
        </w:rPr>
        <w:t xml:space="preserve">PadLeft configurável (padrão 6 dígitos). Exemplo: 370 → 000370.</w:t>
      </w:r>
    </w:p>
    <w:p>
      <w:pPr>
        <w:pStyle w:val="Heading3"/>
        <w:spacing w:after="100" w:before="200"/>
      </w:pPr>
      <w:r>
        <w:rPr>
          <w:b/>
          <w:bCs/>
          <w:color w:val="111111"/>
          <w:sz w:val="22"/>
          <w:szCs w:val="22"/>
        </w:rPr>
        <w:t xml:space="preserve">Geração de Eventos</w:t>
      </w:r>
    </w:p>
    <w:p>
      <w:pPr>
        <w:pStyle w:val="ListParagraph"/>
        <w:numPr>
          <w:ilvl w:val="0"/>
          <w:numId w:val="3"/>
        </w:numPr>
        <w:spacing w:after="60" w:line="290"/>
      </w:pPr>
      <w:r>
        <w:rPr>
          <w:sz w:val="21"/>
          <w:szCs w:val="21"/>
        </w:rPr>
        <w:t xml:space="preserve">Para cada coluna de evento configurada: se valor &gt; 0 (ou condição definida), gerar registro com o código de evento correspondente.</w:t>
      </w:r>
    </w:p>
    <w:p>
      <w:pPr>
        <w:pStyle w:val="Heading3"/>
        <w:spacing w:after="100" w:before="200"/>
      </w:pPr>
      <w:r>
        <w:rPr>
          <w:b/>
          <w:bCs/>
          <w:color w:val="111111"/>
          <w:sz w:val="22"/>
          <w:szCs w:val="22"/>
        </w:rPr>
        <w:t xml:space="preserve">Conversão de Horas</w:t>
      </w:r>
    </w:p>
    <w:p>
      <w:pPr>
        <w:pStyle w:val="ListParagraph"/>
        <w:numPr>
          <w:ilvl w:val="0"/>
          <w:numId w:val="3"/>
        </w:numPr>
        <w:spacing w:after="60" w:line="290"/>
      </w:pPr>
      <w:r>
        <w:rPr>
          <w:sz w:val="21"/>
          <w:szCs w:val="21"/>
        </w:rPr>
        <w:t xml:space="preserve">Valores em texto no formato "11hs 58min" extraídos via regex configurável (horas e minutos).</w:t>
      </w:r>
    </w:p>
    <w:p>
      <w:pPr>
        <w:pStyle w:val="ListParagraph"/>
        <w:numPr>
          <w:ilvl w:val="0"/>
          <w:numId w:val="3"/>
        </w:numPr>
        <w:spacing w:after="60" w:line="290"/>
      </w:pPr>
      <w:r>
        <w:rPr>
          <w:sz w:val="21"/>
          <w:szCs w:val="21"/>
        </w:rPr>
        <w:t xml:space="preserve">Fórmula: horas + (minutos / 60). Exemplo: 11hs 58min → 11.966667.</w:t>
      </w:r>
    </w:p>
    <w:p>
      <w:pPr>
        <w:pStyle w:val="ListParagraph"/>
        <w:numPr>
          <w:ilvl w:val="0"/>
          <w:numId w:val="3"/>
        </w:numPr>
        <w:spacing w:after="60" w:line="290"/>
      </w:pPr>
      <w:r>
        <w:rPr>
          <w:sz w:val="21"/>
          <w:szCs w:val="21"/>
        </w:rPr>
        <w:t xml:space="preserve">Gerar evento apenas quando o valor decimal resultante for maior que 0.</w:t>
      </w:r>
    </w:p>
    <w:p>
      <w:pPr>
        <w:pStyle w:val="Heading1"/>
        <w:pBdr>
          <w:bottom w:val="single" w:color="1B2A4A" w:sz="6" w:space="4"/>
        </w:pBdr>
        <w:spacing w:after="200" w:before="400"/>
      </w:pPr>
      <w:r>
        <w:rPr>
          <w:b/>
          <w:bCs/>
          <w:color w:val="1B2A4A"/>
          <w:sz w:val="30"/>
          <w:szCs w:val="30"/>
        </w:rPr>
        <w:t xml:space="preserve">10. Regras de Exportação CSV</w:t>
      </w:r>
    </w:p>
    <w:p>
      <w:pPr>
        <w:spacing w:after="140" w:line="300"/>
      </w:pPr>
      <w:r>
        <w:rPr>
          <w:sz w:val="21"/>
          <w:szCs w:val="21"/>
        </w:rPr>
        <w:t xml:space="preserve">Estrutura de exportação preservada do PRD original — é o contrato de integração com o sistema de folha do cliente e não deve mudar sem necessidade, mas passa a ser parametrizável (nome do arquivo, linha inicial e cabeçalho variam por tenant, com estes valores como padrão).</w:t>
      </w:r>
    </w:p>
    <w:p>
      <w:pPr>
        <w:pStyle w:val="Heading3"/>
        <w:spacing w:after="100" w:before="200"/>
      </w:pPr>
      <w:r>
        <w:rPr>
          <w:b/>
          <w:bCs/>
          <w:color w:val="111111"/>
          <w:sz w:val="22"/>
          <w:szCs w:val="22"/>
        </w:rPr>
        <w:t xml:space="preserve">Configuração Padrão (herdada)</w:t>
      </w:r>
    </w:p>
    <w:p>
      <w:pPr>
        <w:pStyle w:val="ListParagraph"/>
        <w:numPr>
          <w:ilvl w:val="0"/>
          <w:numId w:val="3"/>
        </w:numPr>
        <w:spacing w:after="60" w:line="290"/>
      </w:pPr>
      <w:r>
        <w:rPr>
          <w:sz w:val="21"/>
          <w:szCs w:val="21"/>
        </w:rPr>
        <w:t xml:space="preserve">Nome do arquivo: Eventos_Folha_Export.csv (configurável por tenant).</w:t>
      </w:r>
    </w:p>
    <w:p>
      <w:pPr>
        <w:pStyle w:val="ListParagraph"/>
        <w:numPr>
          <w:ilvl w:val="0"/>
          <w:numId w:val="3"/>
        </w:numPr>
        <w:spacing w:after="60" w:line="290"/>
      </w:pPr>
      <w:r>
        <w:rPr>
          <w:sz w:val="21"/>
          <w:szCs w:val="21"/>
        </w:rPr>
        <w:t xml:space="preserve">Codificação: UTF-8. Separador: vírgula.</w:t>
      </w:r>
    </w:p>
    <w:p>
      <w:pPr>
        <w:pStyle w:val="ListParagraph"/>
        <w:numPr>
          <w:ilvl w:val="0"/>
          <w:numId w:val="3"/>
        </w:numPr>
        <w:spacing w:after="60" w:line="290"/>
      </w:pPr>
      <w:r>
        <w:rPr>
          <w:sz w:val="21"/>
          <w:szCs w:val="21"/>
        </w:rPr>
        <w:t xml:space="preserve">Linha inicial (registro de controle): 01TC0006,,,</w:t>
      </w:r>
    </w:p>
    <w:p>
      <w:pPr>
        <w:pStyle w:val="ListParagraph"/>
        <w:numPr>
          <w:ilvl w:val="0"/>
          <w:numId w:val="3"/>
        </w:numPr>
        <w:spacing w:after="60" w:line="290"/>
      </w:pPr>
      <w:r>
        <w:rPr>
          <w:sz w:val="21"/>
          <w:szCs w:val="21"/>
        </w:rPr>
        <w:t xml:space="preserve">Cabeçalho: Cód.Empregado,Cód. Evento,Referência,Valor do Evento</w:t>
      </w:r>
    </w:p>
    <w:p>
      <w:pPr>
        <w:pStyle w:val="Heading3"/>
        <w:spacing w:after="100" w:before="200"/>
      </w:pPr>
      <w:r>
        <w:rPr>
          <w:b/>
          <w:bCs/>
          <w:color w:val="111111"/>
          <w:sz w:val="22"/>
          <w:szCs w:val="22"/>
        </w:rPr>
        <w:t xml:space="preserve">Registros de Comissão (Salão / Cozinha)</w:t>
      </w:r>
    </w:p>
    <w:p>
      <w:pPr>
        <w:pBdr>
          <w:top w:val="single" w:color="1E1E1E" w:sz="2"/>
          <w:bottom w:val="single" w:color="1E1E1E" w:sz="2"/>
          <w:left w:val="single" w:color="1E1E1E" w:sz="2"/>
          <w:right w:val="single" w:color="1E1E1E" w:sz="2"/>
        </w:pBdr>
        <w:shd w:fill="1E1E1E" w:val="clear"/>
        <w:spacing w:after="140" w:before="60"/>
      </w:pPr>
      <w:r>
        <w:rPr>
          <w:rFonts w:ascii="Consolas" w:cs="Consolas" w:eastAsia="Consolas" w:hAnsi="Consolas"/>
          <w:color w:val="D4D4D4"/>
          <w:sz w:val="19"/>
          <w:szCs w:val="19"/>
        </w:rPr>
        <w:t xml:space="preserve">Formato: {Empregado},{Evento},,"{Valor}"</w:t>
      </w:r>
      <w:r>
        <w:br/>
        <w:t xml:space="preserve"/>
      </w:r>
      <w:r>
        <w:rPr>
          <w:rFonts w:ascii="Consolas" w:cs="Consolas" w:eastAsia="Consolas" w:hAnsi="Consolas"/>
          <w:color w:val="D4D4D4"/>
          <w:sz w:val="19"/>
          <w:szCs w:val="19"/>
        </w:rPr>
        <w:t xml:space="preserve">Exemplo: 000494,659,,"782,90"</w:t>
      </w:r>
    </w:p>
    <w:p>
      <w:pPr>
        <w:pStyle w:val="ListParagraph"/>
        <w:numPr>
          <w:ilvl w:val="0"/>
          <w:numId w:val="3"/>
        </w:numPr>
        <w:spacing w:after="60" w:line="290"/>
      </w:pPr>
      <w:r>
        <w:rPr>
          <w:sz w:val="21"/>
          <w:szCs w:val="21"/>
        </w:rPr>
        <w:t xml:space="preserve">Referência sempre vazia; valor monetário na última coluna; vírgula como separador decimal; duas casas decimais; valor entre aspas.</w:t>
      </w:r>
    </w:p>
    <w:p>
      <w:pPr>
        <w:pStyle w:val="Heading3"/>
        <w:spacing w:after="100" w:before="200"/>
      </w:pPr>
      <w:r>
        <w:rPr>
          <w:b/>
          <w:bCs/>
          <w:color w:val="111111"/>
          <w:sz w:val="22"/>
          <w:szCs w:val="22"/>
        </w:rPr>
        <w:t xml:space="preserve">Registros de Hora Extra</w:t>
      </w:r>
    </w:p>
    <w:p>
      <w:pPr>
        <w:pBdr>
          <w:top w:val="single" w:color="1E1E1E" w:sz="2"/>
          <w:bottom w:val="single" w:color="1E1E1E" w:sz="2"/>
          <w:left w:val="single" w:color="1E1E1E" w:sz="2"/>
          <w:right w:val="single" w:color="1E1E1E" w:sz="2"/>
        </w:pBdr>
        <w:shd w:fill="1E1E1E" w:val="clear"/>
        <w:spacing w:after="140" w:before="60"/>
      </w:pPr>
      <w:r>
        <w:rPr>
          <w:rFonts w:ascii="Consolas" w:cs="Consolas" w:eastAsia="Consolas" w:hAnsi="Consolas"/>
          <w:color w:val="D4D4D4"/>
          <w:sz w:val="19"/>
          <w:szCs w:val="19"/>
        </w:rPr>
        <w:t xml:space="preserve">Formato: {Empregado},{Evento},"{Referência}",</w:t>
      </w:r>
      <w:r>
        <w:br/>
        <w:t xml:space="preserve"/>
      </w:r>
      <w:r>
        <w:rPr>
          <w:rFonts w:ascii="Consolas" w:cs="Consolas" w:eastAsia="Consolas" w:hAnsi="Consolas"/>
          <w:color w:val="D4D4D4"/>
          <w:sz w:val="19"/>
          <w:szCs w:val="19"/>
        </w:rPr>
        <w:t xml:space="preserve">Exemplo: 000370,060,"11,97",</w:t>
      </w:r>
    </w:p>
    <w:p>
      <w:pPr>
        <w:pStyle w:val="ListParagraph"/>
        <w:numPr>
          <w:ilvl w:val="0"/>
          <w:numId w:val="3"/>
        </w:numPr>
        <w:spacing w:after="60" w:line="290"/>
      </w:pPr>
      <w:r>
        <w:rPr>
          <w:sz w:val="21"/>
          <w:szCs w:val="21"/>
        </w:rPr>
        <w:t xml:space="preserve">Valor decimal calculado vai na coluna Referência; última coluna permanece vazia; duas casas decimais; vírgula decimal; valor entre aspas.</w:t>
      </w:r>
    </w:p>
    <w:p>
      <w:pPr>
        <w:pStyle w:val="Heading3"/>
        <w:spacing w:after="100" w:before="200"/>
      </w:pPr>
      <w:r>
        <w:rPr>
          <w:b/>
          <w:bCs/>
          <w:color w:val="111111"/>
          <w:sz w:val="22"/>
          <w:szCs w:val="22"/>
        </w:rPr>
        <w:t xml:space="preserve">Rodapé</w:t>
      </w:r>
    </w:p>
    <w:p>
      <w:pPr>
        <w:pBdr>
          <w:top w:val="single" w:color="1E1E1E" w:sz="2"/>
          <w:bottom w:val="single" w:color="1E1E1E" w:sz="2"/>
          <w:left w:val="single" w:color="1E1E1E" w:sz="2"/>
          <w:right w:val="single" w:color="1E1E1E" w:sz="2"/>
        </w:pBdr>
        <w:shd w:fill="1E1E1E" w:val="clear"/>
        <w:spacing w:after="140" w:before="60"/>
      </w:pPr>
      <w:r>
        <w:rPr>
          <w:rFonts w:ascii="Consolas" w:cs="Consolas" w:eastAsia="Consolas" w:hAnsi="Consolas"/>
          <w:color w:val="D4D4D4"/>
          <w:sz w:val="19"/>
          <w:szCs w:val="19"/>
        </w:rPr>
        <w:t xml:space="preserve">Formato: Z,{QuantidadeRegistros},,"{ValorTotal}"</w:t>
      </w:r>
      <w:r>
        <w:br/>
        <w:t xml:space="preserve"/>
      </w:r>
      <w:r>
        <w:rPr>
          <w:rFonts w:ascii="Consolas" w:cs="Consolas" w:eastAsia="Consolas" w:hAnsi="Consolas"/>
          <w:color w:val="D4D4D4"/>
          <w:sz w:val="19"/>
          <w:szCs w:val="19"/>
        </w:rPr>
        <w:t xml:space="preserve">Exemplo: Z,145,,"84598,33"</w:t>
      </w:r>
    </w:p>
    <w:p>
      <w:pPr>
        <w:pStyle w:val="ListParagraph"/>
        <w:numPr>
          <w:ilvl w:val="0"/>
          <w:numId w:val="3"/>
        </w:numPr>
        <w:spacing w:after="60" w:line="290"/>
      </w:pPr>
      <w:r>
        <w:rPr>
          <w:sz w:val="21"/>
          <w:szCs w:val="21"/>
        </w:rPr>
        <w:t xml:space="preserve">QuantidadeRegistros = total de eventos gerados na exportação.</w:t>
      </w:r>
    </w:p>
    <w:p>
      <w:pPr>
        <w:pStyle w:val="ListParagraph"/>
        <w:numPr>
          <w:ilvl w:val="0"/>
          <w:numId w:val="3"/>
        </w:numPr>
        <w:spacing w:after="60" w:line="290"/>
      </w:pPr>
      <w:r>
        <w:rPr>
          <w:sz w:val="21"/>
          <w:szCs w:val="21"/>
        </w:rPr>
        <w:t xml:space="preserve">ValorTotal = somatório de valores de comissão, vales e referências numéricas de hora extra, sempre com duas casas decimais, vírgula decimal, entre aspas.</w:t>
      </w:r>
    </w:p>
    <w:p>
      <w:pPr>
        <w:pStyle w:val="Heading1"/>
        <w:pBdr>
          <w:bottom w:val="single" w:color="1B2A4A" w:sz="6" w:space="4"/>
        </w:pBdr>
        <w:spacing w:after="200" w:before="400"/>
      </w:pPr>
      <w:r>
        <w:rPr>
          <w:b/>
          <w:bCs/>
          <w:color w:val="1B2A4A"/>
          <w:sz w:val="30"/>
          <w:szCs w:val="30"/>
        </w:rPr>
        <w:t xml:space="preserve">11. Segurança, Privacidade e Compliance</w:t>
      </w:r>
    </w:p>
    <w:p>
      <w:pPr>
        <w:spacing w:after="140" w:line="300"/>
      </w:pPr>
      <w:r>
        <w:rPr>
          <w:sz w:val="21"/>
          <w:szCs w:val="21"/>
        </w:rPr>
        <w:t xml:space="preserve">Dado de folha de pagamento é dado pessoal sensível sob a LGPD (remuneração, jornada, matrícula vinculada a pessoa física). Isso muda de categoria de risco assim que o produto passa a ter contas e histórico — precisa constar explicitamente no PRD, o original não tratava disso.</w:t>
      </w:r>
    </w:p>
    <w:p>
      <w:pPr>
        <w:pStyle w:val="ListParagraph"/>
        <w:numPr>
          <w:ilvl w:val="0"/>
          <w:numId w:val="3"/>
        </w:numPr>
        <w:spacing w:after="60" w:line="290"/>
      </w:pPr>
      <w:r>
        <w:rPr>
          <w:sz w:val="21"/>
          <w:szCs w:val="21"/>
        </w:rPr>
        <w:t xml:space="preserve">O conteúdo da planilha (linhas, valores individuais de funcionário) nunca é enviado ao backend — permanece só no navegador durante o processamento, reforçando a postura de "privacy by design".</w:t>
      </w:r>
    </w:p>
    <w:p>
      <w:pPr>
        <w:pStyle w:val="ListParagraph"/>
        <w:numPr>
          <w:ilvl w:val="0"/>
          <w:numId w:val="3"/>
        </w:numPr>
        <w:spacing w:after="60" w:line="290"/>
      </w:pPr>
      <w:r>
        <w:rPr>
          <w:sz w:val="21"/>
          <w:szCs w:val="21"/>
        </w:rPr>
        <w:t xml:space="preserve">O backend armazena apenas metadados agregados (totais, contagens, nome de arquivo, timestamp) — nunca dado de funcionário individual.</w:t>
      </w:r>
    </w:p>
    <w:p>
      <w:pPr>
        <w:pStyle w:val="ListParagraph"/>
        <w:numPr>
          <w:ilvl w:val="0"/>
          <w:numId w:val="3"/>
        </w:numPr>
        <w:spacing w:after="60" w:line="290"/>
      </w:pPr>
      <w:r>
        <w:rPr>
          <w:sz w:val="21"/>
          <w:szCs w:val="21"/>
        </w:rPr>
        <w:t xml:space="preserve">Row Level Security no Supabase: cada tenant só acessa seus próprios dados (layouts, conversões, usuários).</w:t>
      </w:r>
    </w:p>
    <w:p>
      <w:pPr>
        <w:pStyle w:val="ListParagraph"/>
        <w:numPr>
          <w:ilvl w:val="0"/>
          <w:numId w:val="3"/>
        </w:numPr>
        <w:spacing w:after="60" w:line="290"/>
      </w:pPr>
      <w:r>
        <w:rPr>
          <w:sz w:val="21"/>
          <w:szCs w:val="21"/>
        </w:rPr>
        <w:t xml:space="preserve">Autenticação obrigatória (Supabase Auth) com expiração de sessão e opção de MFA no plano Business.</w:t>
      </w:r>
    </w:p>
    <w:p>
      <w:pPr>
        <w:pStyle w:val="ListParagraph"/>
        <w:numPr>
          <w:ilvl w:val="0"/>
          <w:numId w:val="3"/>
        </w:numPr>
        <w:spacing w:after="60" w:line="290"/>
      </w:pPr>
      <w:r>
        <w:rPr>
          <w:sz w:val="21"/>
          <w:szCs w:val="21"/>
        </w:rPr>
        <w:t xml:space="preserve">Log de auditoria imutável (quem processou o quê e quando) — requisito de compliance para clientes contábeis, que respondem por seus próprios clientes.</w:t>
      </w:r>
    </w:p>
    <w:p>
      <w:pPr>
        <w:pStyle w:val="ListParagraph"/>
        <w:numPr>
          <w:ilvl w:val="0"/>
          <w:numId w:val="3"/>
        </w:numPr>
        <w:spacing w:after="60" w:line="290"/>
      </w:pPr>
      <w:r>
        <w:rPr>
          <w:sz w:val="21"/>
          <w:szCs w:val="21"/>
        </w:rPr>
        <w:t xml:space="preserve">Política de retenção: histórico de metadados mantido por 24 meses; nenhum arquivo Excel ou CSV é armazenado no servidor.</w:t>
      </w:r>
    </w:p>
    <w:p>
      <w:pPr>
        <w:pStyle w:val="ListParagraph"/>
        <w:numPr>
          <w:ilvl w:val="0"/>
          <w:numId w:val="3"/>
        </w:numPr>
        <w:spacing w:after="60" w:line="290"/>
      </w:pPr>
      <w:r>
        <w:rPr>
          <w:sz w:val="21"/>
          <w:szCs w:val="21"/>
        </w:rPr>
        <w:t xml:space="preserve">Necessário publicar Política de Privacidade LGPD específica do produto antes do lançamento comercial (documento à parte).</w:t>
      </w:r>
    </w:p>
    <w:p>
      <w:pPr>
        <w:pStyle w:val="Heading1"/>
        <w:pBdr>
          <w:bottom w:val="single" w:color="1B2A4A" w:sz="6" w:space="4"/>
        </w:pBdr>
        <w:spacing w:after="200" w:before="400"/>
      </w:pPr>
      <w:r>
        <w:rPr>
          <w:b/>
          <w:bCs/>
          <w:color w:val="1B2A4A"/>
          <w:sz w:val="30"/>
          <w:szCs w:val="30"/>
        </w:rPr>
        <w:t xml:space="preserve">12. Tratamento de Erros</w:t>
      </w:r>
    </w:p>
    <w:p>
      <w:pPr>
        <w:spacing w:after="140" w:line="300"/>
      </w:pPr>
      <w:r>
        <w:rPr>
          <w:sz w:val="21"/>
          <w:szCs w:val="21"/>
        </w:rPr>
        <w:t xml:space="preserve">Mensagens amigáveis via Toast, cobrindo — no mínimo — os casos:</w:t>
      </w:r>
    </w:p>
    <w:p>
      <w:pPr>
        <w:pStyle w:val="ListParagraph"/>
        <w:numPr>
          <w:ilvl w:val="0"/>
          <w:numId w:val="3"/>
        </w:numPr>
        <w:spacing w:after="60" w:line="290"/>
      </w:pPr>
      <w:r>
        <w:rPr>
          <w:sz w:val="21"/>
          <w:szCs w:val="21"/>
        </w:rPr>
        <w:t xml:space="preserve">Arquivo inválido / formato não suportado.</w:t>
      </w:r>
    </w:p>
    <w:p>
      <w:pPr>
        <w:pStyle w:val="ListParagraph"/>
        <w:numPr>
          <w:ilvl w:val="0"/>
          <w:numId w:val="3"/>
        </w:numPr>
        <w:spacing w:after="60" w:line="290"/>
      </w:pPr>
      <w:r>
        <w:rPr>
          <w:sz w:val="21"/>
          <w:szCs w:val="21"/>
        </w:rPr>
        <w:t xml:space="preserve">Planilha vazia.</w:t>
      </w:r>
    </w:p>
    <w:p>
      <w:pPr>
        <w:pStyle w:val="ListParagraph"/>
        <w:numPr>
          <w:ilvl w:val="0"/>
          <w:numId w:val="3"/>
        </w:numPr>
        <w:spacing w:after="60" w:line="290"/>
      </w:pPr>
      <w:r>
        <w:rPr>
          <w:sz w:val="21"/>
          <w:szCs w:val="21"/>
        </w:rPr>
        <w:t xml:space="preserve">Aba obrigatória inexistente (informar exatamente qual aba falta, conforme layout configurado do tenant).</w:t>
      </w:r>
    </w:p>
    <w:p>
      <w:pPr>
        <w:pStyle w:val="ListParagraph"/>
        <w:numPr>
          <w:ilvl w:val="0"/>
          <w:numId w:val="3"/>
        </w:numPr>
        <w:spacing w:after="60" w:line="290"/>
      </w:pPr>
      <w:r>
        <w:rPr>
          <w:sz w:val="21"/>
          <w:szCs w:val="21"/>
        </w:rPr>
        <w:t xml:space="preserve">Cabeçalho não encontrado.</w:t>
      </w:r>
    </w:p>
    <w:p>
      <w:pPr>
        <w:pStyle w:val="ListParagraph"/>
        <w:numPr>
          <w:ilvl w:val="0"/>
          <w:numId w:val="3"/>
        </w:numPr>
        <w:spacing w:after="60" w:line="290"/>
      </w:pPr>
      <w:r>
        <w:rPr>
          <w:sz w:val="21"/>
          <w:szCs w:val="21"/>
        </w:rPr>
        <w:t xml:space="preserve">Nenhum registro encontrado.</w:t>
      </w:r>
    </w:p>
    <w:p>
      <w:pPr>
        <w:pStyle w:val="ListParagraph"/>
        <w:numPr>
          <w:ilvl w:val="0"/>
          <w:numId w:val="3"/>
        </w:numPr>
        <w:spacing w:after="60" w:line="290"/>
      </w:pPr>
      <w:r>
        <w:rPr>
          <w:sz w:val="21"/>
          <w:szCs w:val="21"/>
        </w:rPr>
        <w:t xml:space="preserve">Erro durante leitura do Excel / erro na geração do CSV.</w:t>
      </w:r>
    </w:p>
    <w:p>
      <w:pPr>
        <w:pStyle w:val="ListParagraph"/>
        <w:numPr>
          <w:ilvl w:val="0"/>
          <w:numId w:val="3"/>
        </w:numPr>
        <w:spacing w:after="60" w:line="290"/>
      </w:pPr>
      <w:r>
        <w:rPr>
          <w:sz w:val="21"/>
          <w:szCs w:val="21"/>
        </w:rPr>
        <w:t xml:space="preserve">Layout do tenant não configurado ou incompleto (caso novo, específico da versão SaaS).</w:t>
      </w:r>
    </w:p>
    <w:p>
      <w:pPr>
        <w:pStyle w:val="ListParagraph"/>
        <w:numPr>
          <w:ilvl w:val="0"/>
          <w:numId w:val="3"/>
        </w:numPr>
        <w:spacing w:after="60" w:line="290"/>
      </w:pPr>
      <w:r>
        <w:rPr>
          <w:sz w:val="21"/>
          <w:szCs w:val="21"/>
        </w:rPr>
        <w:t xml:space="preserve">Limite de conversões do plano atingido — CTA de upgrade em vez de apenas bloquear (oportunidade de conversão de receita, não só erro).</w:t>
      </w:r>
    </w:p>
    <w:p>
      <w:pPr>
        <w:pStyle w:val="Heading1"/>
        <w:pBdr>
          <w:bottom w:val="single" w:color="1B2A4A" w:sz="6" w:space="4"/>
        </w:pBdr>
        <w:spacing w:after="200" w:before="400"/>
      </w:pPr>
      <w:r>
        <w:rPr>
          <w:b/>
          <w:bCs/>
          <w:color w:val="1B2A4A"/>
          <w:sz w:val="30"/>
          <w:szCs w:val="30"/>
        </w:rPr>
        <w:t xml:space="preserve">13. Performance, Acessibilidade e Responsividade</w:t>
      </w:r>
    </w:p>
    <w:p>
      <w:pPr>
        <w:pStyle w:val="Heading2"/>
        <w:spacing w:after="120" w:before="300"/>
      </w:pPr>
      <w:r>
        <w:rPr>
          <w:b/>
          <w:bCs/>
          <w:color w:val="2E6F6E"/>
          <w:sz w:val="24"/>
          <w:szCs w:val="24"/>
        </w:rPr>
        <w:t xml:space="preserve">13.1 Performance</w:t>
      </w:r>
    </w:p>
    <w:p>
      <w:pPr>
        <w:pStyle w:val="ListParagraph"/>
        <w:numPr>
          <w:ilvl w:val="0"/>
          <w:numId w:val="3"/>
        </w:numPr>
        <w:spacing w:after="60" w:line="290"/>
      </w:pPr>
      <w:r>
        <w:rPr>
          <w:sz w:val="21"/>
          <w:szCs w:val="21"/>
        </w:rPr>
        <w:t xml:space="preserve">Processar milhares de linhas sem travamento perceptível na UI.</w:t>
      </w:r>
    </w:p>
    <w:p>
      <w:pPr>
        <w:pStyle w:val="ListParagraph"/>
        <w:numPr>
          <w:ilvl w:val="0"/>
          <w:numId w:val="3"/>
        </w:numPr>
        <w:spacing w:after="60" w:line="290"/>
      </w:pPr>
      <w:r>
        <w:rPr>
          <w:sz w:val="21"/>
          <w:szCs w:val="21"/>
        </w:rPr>
        <w:t xml:space="preserve">useMemo e useCallback onde reduzem re-render mensurável; evitar otimização prematura sem perfil de gargalo real.</w:t>
      </w:r>
    </w:p>
    <w:p>
      <w:pPr>
        <w:pStyle w:val="ListParagraph"/>
        <w:numPr>
          <w:ilvl w:val="0"/>
          <w:numId w:val="3"/>
        </w:numPr>
        <w:spacing w:after="60" w:line="290"/>
      </w:pPr>
      <w:r>
        <w:rPr>
          <w:sz w:val="21"/>
          <w:szCs w:val="21"/>
        </w:rPr>
        <w:t xml:space="preserve">Processamento em memória; geração do CSV via Blob.</w:t>
      </w:r>
    </w:p>
    <w:p>
      <w:pPr>
        <w:pStyle w:val="Heading2"/>
        <w:spacing w:after="120" w:before="300"/>
      </w:pPr>
      <w:r>
        <w:rPr>
          <w:b/>
          <w:bCs/>
          <w:color w:val="2E6F6E"/>
          <w:sz w:val="24"/>
          <w:szCs w:val="24"/>
        </w:rPr>
        <w:t xml:space="preserve">13.2 Acessibilidade</w:t>
      </w:r>
    </w:p>
    <w:p>
      <w:pPr>
        <w:pStyle w:val="ListParagraph"/>
        <w:numPr>
          <w:ilvl w:val="0"/>
          <w:numId w:val="3"/>
        </w:numPr>
        <w:spacing w:after="60" w:line="290"/>
      </w:pPr>
      <w:r>
        <w:rPr>
          <w:sz w:val="21"/>
          <w:szCs w:val="21"/>
        </w:rPr>
        <w:t xml:space="preserve">Navegação por teclado, ARIA Labels, contraste AA, foco visível, compatibilidade com leitores de tela.</w:t>
      </w:r>
    </w:p>
    <w:p>
      <w:pPr>
        <w:pStyle w:val="Heading2"/>
        <w:spacing w:after="120" w:before="300"/>
      </w:pPr>
      <w:r>
        <w:rPr>
          <w:b/>
          <w:bCs/>
          <w:color w:val="2E6F6E"/>
          <w:sz w:val="24"/>
          <w:szCs w:val="24"/>
        </w:rPr>
        <w:t xml:space="preserve">13.3 Responsividade</w:t>
      </w:r>
    </w:p>
    <w:p>
      <w:pPr>
        <w:pStyle w:val="ListParagraph"/>
        <w:numPr>
          <w:ilvl w:val="0"/>
          <w:numId w:val="3"/>
        </w:numPr>
        <w:spacing w:after="60" w:line="290"/>
      </w:pPr>
      <w:r>
        <w:rPr>
          <w:sz w:val="21"/>
          <w:szCs w:val="21"/>
        </w:rPr>
        <w:t xml:space="preserve">Compatível com desktop, tablet e mobile — uso mobile prioritário para consulta de histórico e status, não necessariamente para configurar layout (tarefa mais complexa, melhor em desktop).</w:t>
      </w:r>
    </w:p>
    <w:p>
      <w:pPr>
        <w:pStyle w:val="Heading1"/>
        <w:pBdr>
          <w:bottom w:val="single" w:color="1B2A4A" w:sz="6" w:space="4"/>
        </w:pBdr>
        <w:spacing w:after="200" w:before="400"/>
      </w:pPr>
      <w:r>
        <w:rPr>
          <w:b/>
          <w:bCs/>
          <w:color w:val="1B2A4A"/>
          <w:sz w:val="30"/>
          <w:szCs w:val="30"/>
        </w:rPr>
        <w:t xml:space="preserve">14. Qualidade de Código e Arquitetura de Pastas</w:t>
      </w:r>
    </w:p>
    <w:p>
      <w:pPr>
        <w:spacing w:after="140" w:line="300"/>
      </w:pPr>
      <w:r>
        <w:rPr>
          <w:sz w:val="21"/>
          <w:szCs w:val="21"/>
        </w:rPr>
        <w:t xml:space="preserve">Toda regra de negócio permanece isolada em services/ — nunca dentro de componentes React, princípio mantido do PRD original e reforçado pela necessidade de o motor de regras ser testável isoladamente.</w:t>
      </w:r>
    </w:p>
    <w:p>
      <w:pPr>
        <w:pBdr>
          <w:top w:val="single" w:color="1E1E1E" w:sz="2"/>
          <w:bottom w:val="single" w:color="1E1E1E" w:sz="2"/>
          <w:left w:val="single" w:color="1E1E1E" w:sz="2"/>
          <w:right w:val="single" w:color="1E1E1E" w:sz="2"/>
        </w:pBdr>
        <w:shd w:fill="1E1E1E" w:val="clear"/>
        <w:spacing w:after="140" w:before="60"/>
      </w:pPr>
      <w:r>
        <w:rPr>
          <w:rFonts w:ascii="Consolas" w:cs="Consolas" w:eastAsia="Consolas" w:hAnsi="Consolas"/>
          <w:color w:val="D4D4D4"/>
          <w:sz w:val="19"/>
          <w:szCs w:val="19"/>
        </w:rPr>
        <w:t xml:space="preserve">src/</w:t>
      </w:r>
      <w:r>
        <w:br/>
        <w:t xml:space="preserve"/>
      </w:r>
      <w:r>
        <w:rPr>
          <w:rFonts w:ascii="Consolas" w:cs="Consolas" w:eastAsia="Consolas" w:hAnsi="Consolas"/>
          <w:color w:val="D4D4D4"/>
          <w:sz w:val="19"/>
          <w:szCs w:val="19"/>
        </w:rPr>
        <w:t xml:space="preserve">├── components/</w:t>
      </w:r>
      <w:r>
        <w:br/>
        <w:t xml:space="preserve"/>
      </w:r>
      <w:r>
        <w:rPr>
          <w:rFonts w:ascii="Consolas" w:cs="Consolas" w:eastAsia="Consolas" w:hAnsi="Consolas"/>
          <w:color w:val="D4D4D4"/>
          <w:sz w:val="19"/>
          <w:szCs w:val="19"/>
        </w:rPr>
        <w:t xml:space="preserve">├── pages/</w:t>
      </w:r>
      <w:r>
        <w:br/>
        <w:t xml:space="preserve"/>
      </w:r>
      <w:r>
        <w:rPr>
          <w:rFonts w:ascii="Consolas" w:cs="Consolas" w:eastAsia="Consolas" w:hAnsi="Consolas"/>
          <w:color w:val="D4D4D4"/>
          <w:sz w:val="19"/>
          <w:szCs w:val="19"/>
        </w:rPr>
        <w:t xml:space="preserve">├── layouts/</w:t>
      </w:r>
      <w:r>
        <w:br/>
        <w:t xml:space="preserve"/>
      </w:r>
      <w:r>
        <w:rPr>
          <w:rFonts w:ascii="Consolas" w:cs="Consolas" w:eastAsia="Consolas" w:hAnsi="Consolas"/>
          <w:color w:val="D4D4D4"/>
          <w:sz w:val="19"/>
          <w:szCs w:val="19"/>
        </w:rPr>
        <w:t xml:space="preserve">├── services/</w:t>
      </w:r>
      <w:r>
        <w:br/>
        <w:t xml:space="preserve"/>
      </w:r>
      <w:r>
        <w:rPr>
          <w:rFonts w:ascii="Consolas" w:cs="Consolas" w:eastAsia="Consolas" w:hAnsi="Consolas"/>
          <w:color w:val="D4D4D4"/>
          <w:sz w:val="19"/>
          <w:szCs w:val="19"/>
        </w:rPr>
        <w:t xml:space="preserve">│   ├── ExcelService.ts</w:t>
      </w:r>
      <w:r>
        <w:br/>
        <w:t xml:space="preserve"/>
      </w:r>
      <w:r>
        <w:rPr>
          <w:rFonts w:ascii="Consolas" w:cs="Consolas" w:eastAsia="Consolas" w:hAnsi="Consolas"/>
          <w:color w:val="D4D4D4"/>
          <w:sz w:val="19"/>
          <w:szCs w:val="19"/>
        </w:rPr>
        <w:t xml:space="preserve">│   ├── PayrollProcessor.ts   (agora orientado por config_json do tenant)</w:t>
      </w:r>
      <w:r>
        <w:br/>
        <w:t xml:space="preserve"/>
      </w:r>
      <w:r>
        <w:rPr>
          <w:rFonts w:ascii="Consolas" w:cs="Consolas" w:eastAsia="Consolas" w:hAnsi="Consolas"/>
          <w:color w:val="D4D4D4"/>
          <w:sz w:val="19"/>
          <w:szCs w:val="19"/>
        </w:rPr>
        <w:t xml:space="preserve">│   ├── RuleEngine.ts         (novo — interpreta config_json)</w:t>
      </w:r>
      <w:r>
        <w:br/>
        <w:t xml:space="preserve"/>
      </w:r>
      <w:r>
        <w:rPr>
          <w:rFonts w:ascii="Consolas" w:cs="Consolas" w:eastAsia="Consolas" w:hAnsi="Consolas"/>
          <w:color w:val="D4D4D4"/>
          <w:sz w:val="19"/>
          <w:szCs w:val="19"/>
        </w:rPr>
        <w:t xml:space="preserve">│   ├── CsvExporter.ts</w:t>
      </w:r>
      <w:r>
        <w:br/>
        <w:t xml:space="preserve"/>
      </w:r>
      <w:r>
        <w:rPr>
          <w:rFonts w:ascii="Consolas" w:cs="Consolas" w:eastAsia="Consolas" w:hAnsi="Consolas"/>
          <w:color w:val="D4D4D4"/>
          <w:sz w:val="19"/>
          <w:szCs w:val="19"/>
        </w:rPr>
        <w:t xml:space="preserve">│   ├── FileValidator.ts</w:t>
      </w:r>
      <w:r>
        <w:br/>
        <w:t xml:space="preserve"/>
      </w:r>
      <w:r>
        <w:rPr>
          <w:rFonts w:ascii="Consolas" w:cs="Consolas" w:eastAsia="Consolas" w:hAnsi="Consolas"/>
          <w:color w:val="D4D4D4"/>
          <w:sz w:val="19"/>
          <w:szCs w:val="19"/>
        </w:rPr>
        <w:t xml:space="preserve">│   └── HourConverter.ts</w:t>
      </w:r>
      <w:r>
        <w:br/>
        <w:t xml:space="preserve"/>
      </w:r>
      <w:r>
        <w:rPr>
          <w:rFonts w:ascii="Consolas" w:cs="Consolas" w:eastAsia="Consolas" w:hAnsi="Consolas"/>
          <w:color w:val="D4D4D4"/>
          <w:sz w:val="19"/>
          <w:szCs w:val="19"/>
        </w:rPr>
        <w:t xml:space="preserve">├── hooks/</w:t>
      </w:r>
      <w:r>
        <w:br/>
        <w:t xml:space="preserve"/>
      </w:r>
      <w:r>
        <w:rPr>
          <w:rFonts w:ascii="Consolas" w:cs="Consolas" w:eastAsia="Consolas" w:hAnsi="Consolas"/>
          <w:color w:val="D4D4D4"/>
          <w:sz w:val="19"/>
          <w:szCs w:val="19"/>
        </w:rPr>
        <w:t xml:space="preserve">├── utils/</w:t>
      </w:r>
      <w:r>
        <w:br/>
        <w:t xml:space="preserve"/>
      </w:r>
      <w:r>
        <w:rPr>
          <w:rFonts w:ascii="Consolas" w:cs="Consolas" w:eastAsia="Consolas" w:hAnsi="Consolas"/>
          <w:color w:val="D4D4D4"/>
          <w:sz w:val="19"/>
          <w:szCs w:val="19"/>
        </w:rPr>
        <w:t xml:space="preserve">├── lib/</w:t>
      </w:r>
      <w:r>
        <w:br/>
        <w:t xml:space="preserve"/>
      </w:r>
      <w:r>
        <w:rPr>
          <w:rFonts w:ascii="Consolas" w:cs="Consolas" w:eastAsia="Consolas" w:hAnsi="Consolas"/>
          <w:color w:val="D4D4D4"/>
          <w:sz w:val="19"/>
          <w:szCs w:val="19"/>
        </w:rPr>
        <w:t xml:space="preserve">│   └── supabaseClient.ts</w:t>
      </w:r>
      <w:r>
        <w:br/>
        <w:t xml:space="preserve"/>
      </w:r>
      <w:r>
        <w:rPr>
          <w:rFonts w:ascii="Consolas" w:cs="Consolas" w:eastAsia="Consolas" w:hAnsi="Consolas"/>
          <w:color w:val="D4D4D4"/>
          <w:sz w:val="19"/>
          <w:szCs w:val="19"/>
        </w:rPr>
        <w:t xml:space="preserve">├── types/</w:t>
      </w:r>
      <w:r>
        <w:br/>
        <w:t xml:space="preserve"/>
      </w:r>
      <w:r>
        <w:rPr>
          <w:rFonts w:ascii="Consolas" w:cs="Consolas" w:eastAsia="Consolas" w:hAnsi="Consolas"/>
          <w:color w:val="D4D4D4"/>
          <w:sz w:val="19"/>
          <w:szCs w:val="19"/>
        </w:rPr>
        <w:t xml:space="preserve">├── constants/</w:t>
      </w:r>
      <w:r>
        <w:br/>
        <w:t xml:space="preserve"/>
      </w:r>
      <w:r>
        <w:rPr>
          <w:rFonts w:ascii="Consolas" w:cs="Consolas" w:eastAsia="Consolas" w:hAnsi="Consolas"/>
          <w:color w:val="D4D4D4"/>
          <w:sz w:val="19"/>
          <w:szCs w:val="19"/>
        </w:rPr>
        <w:t xml:space="preserve">└── assets/</w:t>
      </w:r>
    </w:p>
    <w:p>
      <w:pPr>
        <w:pStyle w:val="ListParagraph"/>
        <w:numPr>
          <w:ilvl w:val="0"/>
          <w:numId w:val="3"/>
        </w:numPr>
        <w:spacing w:after="60" w:line="290"/>
      </w:pPr>
      <w:r>
        <w:rPr>
          <w:sz w:val="21"/>
          <w:szCs w:val="21"/>
        </w:rPr>
        <w:t xml:space="preserve">TypeScript Strict Mode; princípios SOLID; Clean Code; funções puras no motor de regras; componentes reutilizáveis; tipagem completa; separação estrita entre UI e regra de negócio.</w:t>
      </w:r>
    </w:p>
    <w:p>
      <w:pPr>
        <w:pStyle w:val="Heading1"/>
        <w:pBdr>
          <w:bottom w:val="single" w:color="1B2A4A" w:sz="6" w:space="4"/>
        </w:pBdr>
        <w:spacing w:after="200" w:before="400"/>
      </w:pPr>
      <w:r>
        <w:rPr>
          <w:b/>
          <w:bCs/>
          <w:color w:val="1B2A4A"/>
          <w:sz w:val="30"/>
          <w:szCs w:val="30"/>
        </w:rPr>
        <w:t xml:space="preserve">15. Analytics e Instrumentação</w:t>
      </w:r>
    </w:p>
    <w:p>
      <w:pPr>
        <w:spacing w:after="140" w:line="300"/>
      </w:pPr>
      <w:r>
        <w:rPr>
          <w:sz w:val="21"/>
          <w:szCs w:val="21"/>
        </w:rPr>
        <w:t xml:space="preserve">Sem instrumentação de uso não há como validar as métricas da seção 5 nem operar o modelo de cobrança híbrido da seção 4.2 — este item não existia no PRD original e é obrigatório para operação comercial.</w:t>
      </w:r>
    </w:p>
    <w:p>
      <w:pPr>
        <w:pStyle w:val="ListParagraph"/>
        <w:numPr>
          <w:ilvl w:val="0"/>
          <w:numId w:val="3"/>
        </w:numPr>
        <w:spacing w:after="60" w:line="290"/>
      </w:pPr>
      <w:r>
        <w:rPr>
          <w:sz w:val="21"/>
          <w:szCs w:val="21"/>
        </w:rPr>
        <w:t xml:space="preserve">Evento: trial iniciado, layout configurado, conversão concluída, conversão com erro, upgrade de plano, cancelamento.</w:t>
      </w:r>
    </w:p>
    <w:p>
      <w:pPr>
        <w:pStyle w:val="ListParagraph"/>
        <w:numPr>
          <w:ilvl w:val="0"/>
          <w:numId w:val="3"/>
        </w:numPr>
        <w:spacing w:after="60" w:line="290"/>
      </w:pPr>
      <w:r>
        <w:rPr>
          <w:sz w:val="21"/>
          <w:szCs w:val="21"/>
        </w:rPr>
        <w:t xml:space="preserve">Cada evento associado a tenant_id, para permitir corte de funil por segmento (empresa única vs. BPO).</w:t>
      </w:r>
    </w:p>
    <w:p>
      <w:pPr>
        <w:pStyle w:val="ListParagraph"/>
        <w:numPr>
          <w:ilvl w:val="0"/>
          <w:numId w:val="3"/>
        </w:numPr>
        <w:spacing w:after="60" w:line="290"/>
      </w:pPr>
      <w:r>
        <w:rPr>
          <w:sz w:val="21"/>
          <w:szCs w:val="21"/>
        </w:rPr>
        <w:t xml:space="preserve">Painel interno (Power BI conectado ao Postgres do Supabase) para acompanhar MRR, churn, ativação e uso por plano — reaproveita stack já dominada, sem ferramenta nova.</w:t>
      </w:r>
    </w:p>
    <w:p>
      <w:pPr>
        <w:pStyle w:val="Heading1"/>
        <w:pBdr>
          <w:bottom w:val="single" w:color="1B2A4A" w:sz="6" w:space="4"/>
        </w:pBdr>
        <w:spacing w:after="200" w:before="400"/>
      </w:pPr>
      <w:r>
        <w:rPr>
          <w:b/>
          <w:bCs/>
          <w:color w:val="1B2A4A"/>
          <w:sz w:val="30"/>
          <w:szCs w:val="30"/>
        </w:rPr>
        <w:t xml:space="preserve">16. Roadmap por Fases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3800"/>
      </w:tblGrid>
      <w:tr>
        <w:trPr>
          <w:tblHeader/>
        </w:trPr>
        <w:tc>
          <w:tcPr>
            <w:tcW w:type="dxa" w:w="1400"/>
            <w:shd w:fill="1B2A4A" w:val="clear"/>
            <w:tcMar>
              <w:top w:type="dxa" w:w="80"/>
              <w:left w:type="dxa" w:w="120"/>
              <w:bottom w:type="dxa" w:w="80"/>
              <w:right w:type="dxa" w:w="120"/>
            </w:tcMar>
          </w:tcPr>
          <w:p>
            <w:pPr>
              <w:jc w:val="left"/>
            </w:pPr>
            <w:r>
              <w:rPr>
                <w:b/>
                <w:bCs/>
                <w:color w:val="FFFFFF"/>
                <w:sz w:val="19"/>
                <w:szCs w:val="19"/>
              </w:rPr>
              <w:t xml:space="preserve">Fase</w:t>
            </w:r>
          </w:p>
        </w:tc>
        <w:tc>
          <w:tcPr>
            <w:tcW w:type="dxa" w:w="3400"/>
            <w:shd w:fill="1B2A4A" w:val="clear"/>
            <w:tcMar>
              <w:top w:type="dxa" w:w="80"/>
              <w:left w:type="dxa" w:w="120"/>
              <w:bottom w:type="dxa" w:w="80"/>
              <w:right w:type="dxa" w:w="120"/>
            </w:tcMar>
          </w:tcPr>
          <w:p>
            <w:pPr>
              <w:jc w:val="left"/>
            </w:pPr>
            <w:r>
              <w:rPr>
                <w:b/>
                <w:bCs/>
                <w:color w:val="FFFFFF"/>
                <w:sz w:val="19"/>
                <w:szCs w:val="19"/>
              </w:rPr>
              <w:t xml:space="preserve">Escopo</w:t>
            </w:r>
          </w:p>
        </w:tc>
        <w:tc>
          <w:tcPr>
            <w:tcW w:type="dxa" w:w="3800"/>
            <w:shd w:fill="1B2A4A" w:val="clear"/>
            <w:tcMar>
              <w:top w:type="dxa" w:w="80"/>
              <w:left w:type="dxa" w:w="120"/>
              <w:bottom w:type="dxa" w:w="80"/>
              <w:right w:type="dxa" w:w="120"/>
            </w:tcMar>
          </w:tcPr>
          <w:p>
            <w:pPr>
              <w:jc w:val="left"/>
            </w:pPr>
            <w:r>
              <w:rPr>
                <w:b/>
                <w:bCs/>
                <w:color w:val="FFFFFF"/>
                <w:sz w:val="19"/>
                <w:szCs w:val="19"/>
              </w:rPr>
              <w:t xml:space="preserve">Critério de saída</w:t>
            </w:r>
          </w:p>
        </w:tc>
      </w:tr>
      <w:tr>
        <w:tc>
          <w:tcPr>
            <w:tcW w:type="dxa" w:w="1400"/>
            <w:shd w:fill="FFFFFF" w:val="clear"/>
            <w:tcMar>
              <w:top w:type="dxa" w:w="80"/>
              <w:left w:type="dxa" w:w="120"/>
              <w:bottom w:type="dxa" w:w="80"/>
              <w:right w:type="dxa" w:w="120"/>
            </w:tcMar>
          </w:tcPr>
          <w:p>
            <w:pPr>
              <w:jc w:val="left"/>
            </w:pPr>
            <w:r>
              <w:rPr>
                <w:b w:val="false"/>
                <w:bCs w:val="false"/>
                <w:color w:val="111111"/>
                <w:sz w:val="19"/>
                <w:szCs w:val="19"/>
              </w:rPr>
              <w:t xml:space="preserve">MVP</w:t>
            </w:r>
          </w:p>
        </w:tc>
        <w:tc>
          <w:tcPr>
            <w:tcW w:type="dxa" w:w="3400"/>
            <w:shd w:fill="FFFFFF" w:val="clear"/>
            <w:tcMar>
              <w:top w:type="dxa" w:w="80"/>
              <w:left w:type="dxa" w:w="120"/>
              <w:bottom w:type="dxa" w:w="80"/>
              <w:right w:type="dxa" w:w="120"/>
            </w:tcMar>
          </w:tcPr>
          <w:p>
            <w:pPr>
              <w:jc w:val="left"/>
            </w:pPr>
            <w:r>
              <w:rPr>
                <w:b w:val="false"/>
                <w:bCs w:val="false"/>
                <w:color w:val="111111"/>
                <w:sz w:val="19"/>
                <w:szCs w:val="19"/>
              </w:rPr>
              <w:t xml:space="preserve">Login, 1 layout por tenant (o do PRD original como template fixo), upload, conversão, download, billing Stripe básico (Starter e Professional)</w:t>
            </w:r>
          </w:p>
        </w:tc>
        <w:tc>
          <w:tcPr>
            <w:tcW w:type="dxa" w:w="3800"/>
            <w:shd w:fill="FFFFFF" w:val="clear"/>
            <w:tcMar>
              <w:top w:type="dxa" w:w="80"/>
              <w:left w:type="dxa" w:w="120"/>
              <w:bottom w:type="dxa" w:w="80"/>
              <w:right w:type="dxa" w:w="120"/>
            </w:tcMar>
          </w:tcPr>
          <w:p>
            <w:pPr>
              <w:jc w:val="left"/>
            </w:pPr>
            <w:r>
              <w:rPr>
                <w:b w:val="false"/>
                <w:bCs w:val="false"/>
                <w:color w:val="111111"/>
                <w:sz w:val="19"/>
                <w:szCs w:val="19"/>
              </w:rPr>
              <w:t xml:space="preserve">1 cliente pagante real processando folha em produção por 2 ciclos mensais consecutivos</w:t>
            </w:r>
          </w:p>
        </w:tc>
      </w:tr>
      <w:tr>
        <w:tc>
          <w:tcPr>
            <w:tcW w:type="dxa" w:w="1400"/>
            <w:shd w:fill="F2F4F7" w:val="clear"/>
            <w:tcMar>
              <w:top w:type="dxa" w:w="80"/>
              <w:left w:type="dxa" w:w="120"/>
              <w:bottom w:type="dxa" w:w="80"/>
              <w:right w:type="dxa" w:w="120"/>
            </w:tcMar>
          </w:tcPr>
          <w:p>
            <w:pPr>
              <w:jc w:val="left"/>
            </w:pPr>
            <w:r>
              <w:rPr>
                <w:b w:val="false"/>
                <w:bCs w:val="false"/>
                <w:color w:val="111111"/>
                <w:sz w:val="19"/>
                <w:szCs w:val="19"/>
              </w:rPr>
              <w:t xml:space="preserve">V2</w:t>
            </w:r>
          </w:p>
        </w:tc>
        <w:tc>
          <w:tcPr>
            <w:tcW w:type="dxa" w:w="3400"/>
            <w:shd w:fill="F2F4F7" w:val="clear"/>
            <w:tcMar>
              <w:top w:type="dxa" w:w="80"/>
              <w:left w:type="dxa" w:w="120"/>
              <w:bottom w:type="dxa" w:w="80"/>
              <w:right w:type="dxa" w:w="120"/>
            </w:tcMar>
          </w:tcPr>
          <w:p>
            <w:pPr>
              <w:jc w:val="left"/>
            </w:pPr>
            <w:r>
              <w:rPr>
                <w:b w:val="false"/>
                <w:bCs w:val="false"/>
                <w:color w:val="111111"/>
                <w:sz w:val="19"/>
                <w:szCs w:val="19"/>
              </w:rPr>
              <w:t xml:space="preserve">Wizard de configuração de layout (multi-layout), histórico completo, auditoria, plano Business, RLS refinado</w:t>
            </w:r>
          </w:p>
        </w:tc>
        <w:tc>
          <w:tcPr>
            <w:tcW w:type="dxa" w:w="3800"/>
            <w:shd w:fill="F2F4F7" w:val="clear"/>
            <w:tcMar>
              <w:top w:type="dxa" w:w="80"/>
              <w:left w:type="dxa" w:w="120"/>
              <w:bottom w:type="dxa" w:w="80"/>
              <w:right w:type="dxa" w:w="120"/>
            </w:tcMar>
          </w:tcPr>
          <w:p>
            <w:pPr>
              <w:jc w:val="left"/>
            </w:pPr>
            <w:r>
              <w:rPr>
                <w:b w:val="false"/>
                <w:bCs w:val="false"/>
                <w:color w:val="111111"/>
                <w:sz w:val="19"/>
                <w:szCs w:val="19"/>
              </w:rPr>
              <w:t xml:space="preserve">3+ tenants BPO configurando layouts próprios sem suporte manual</w:t>
            </w:r>
          </w:p>
        </w:tc>
      </w:tr>
      <w:tr>
        <w:tc>
          <w:tcPr>
            <w:tcW w:type="dxa" w:w="1400"/>
            <w:shd w:fill="FFFFFF" w:val="clear"/>
            <w:tcMar>
              <w:top w:type="dxa" w:w="80"/>
              <w:left w:type="dxa" w:w="120"/>
              <w:bottom w:type="dxa" w:w="80"/>
              <w:right w:type="dxa" w:w="120"/>
            </w:tcMar>
          </w:tcPr>
          <w:p>
            <w:pPr>
              <w:jc w:val="left"/>
            </w:pPr>
            <w:r>
              <w:rPr>
                <w:b w:val="false"/>
                <w:bCs w:val="false"/>
                <w:color w:val="111111"/>
                <w:sz w:val="19"/>
                <w:szCs w:val="19"/>
              </w:rPr>
              <w:t xml:space="preserve">V3</w:t>
            </w:r>
          </w:p>
        </w:tc>
        <w:tc>
          <w:tcPr>
            <w:tcW w:type="dxa" w:w="3400"/>
            <w:shd w:fill="FFFFFF" w:val="clear"/>
            <w:tcMar>
              <w:top w:type="dxa" w:w="80"/>
              <w:left w:type="dxa" w:w="120"/>
              <w:bottom w:type="dxa" w:w="80"/>
              <w:right w:type="dxa" w:w="120"/>
            </w:tcMar>
          </w:tcPr>
          <w:p>
            <w:pPr>
              <w:jc w:val="left"/>
            </w:pPr>
            <w:r>
              <w:rPr>
                <w:b w:val="false"/>
                <w:bCs w:val="false"/>
                <w:color w:val="111111"/>
                <w:sz w:val="19"/>
                <w:szCs w:val="19"/>
              </w:rPr>
              <w:t xml:space="preserve">MFA, política de retenção configurável, exportação de auditoria para compliance, integrações via API para ERPs de folha</w:t>
            </w:r>
          </w:p>
        </w:tc>
        <w:tc>
          <w:tcPr>
            <w:tcW w:type="dxa" w:w="3800"/>
            <w:shd w:fill="FFFFFF" w:val="clear"/>
            <w:tcMar>
              <w:top w:type="dxa" w:w="80"/>
              <w:left w:type="dxa" w:w="120"/>
              <w:bottom w:type="dxa" w:w="80"/>
              <w:right w:type="dxa" w:w="120"/>
            </w:tcMar>
          </w:tcPr>
          <w:p>
            <w:pPr>
              <w:jc w:val="left"/>
            </w:pPr>
            <w:r>
              <w:rPr>
                <w:b w:val="false"/>
                <w:bCs w:val="false"/>
                <w:color w:val="111111"/>
                <w:sz w:val="19"/>
                <w:szCs w:val="19"/>
              </w:rPr>
              <w:t xml:space="preserve">Cliente enterprise validando integração via API</w:t>
            </w:r>
          </w:p>
        </w:tc>
      </w:tr>
    </w:tbl>
    <w:p>
      <w:pPr>
        <w:pStyle w:val="Heading1"/>
        <w:pBdr>
          <w:bottom w:val="single" w:color="1B2A4A" w:sz="6" w:space="4"/>
        </w:pBdr>
        <w:spacing w:after="200" w:before="400"/>
      </w:pPr>
      <w:r>
        <w:rPr>
          <w:b/>
          <w:bCs/>
          <w:color w:val="1B2A4A"/>
          <w:sz w:val="30"/>
          <w:szCs w:val="30"/>
        </w:rPr>
        <w:t xml:space="preserve">17. Riscos e Premissas em Aberto</w:t>
      </w:r>
    </w:p>
    <w:p>
      <w:pPr>
        <w:pStyle w:val="ListParagraph"/>
        <w:numPr>
          <w:ilvl w:val="0"/>
          <w:numId w:val="3"/>
        </w:numPr>
        <w:spacing w:after="60" w:line="290"/>
      </w:pPr>
      <w:r>
        <w:rPr>
          <w:sz w:val="21"/>
          <w:szCs w:val="21"/>
        </w:rPr>
        <w:t xml:space="preserve">Premissa a validar: existe demanda de mercado suficiente em BPOs de folha para justificar CAC de aquisição — recomendo validar com 10 conversas de venda antes de investir no Wizard completo (V2).</w:t>
      </w:r>
    </w:p>
    <w:p>
      <w:pPr>
        <w:pStyle w:val="ListParagraph"/>
        <w:numPr>
          <w:ilvl w:val="0"/>
          <w:numId w:val="3"/>
        </w:numPr>
        <w:spacing w:after="60" w:line="290"/>
      </w:pPr>
      <w:r>
        <w:rPr>
          <w:sz w:val="21"/>
          <w:szCs w:val="21"/>
        </w:rPr>
        <w:t xml:space="preserve">Risco: motor de regras genérico pode não cobrir 100% dos formatos de planilha de RH do mercado (variação é grande). Mitigação: começar com os 3 padrões de aba mais comuns identificados em pesquisa de mercado, não tentar cobrir tudo na V1.</w:t>
      </w:r>
    </w:p>
    <w:p>
      <w:pPr>
        <w:pStyle w:val="ListParagraph"/>
        <w:numPr>
          <w:ilvl w:val="0"/>
          <w:numId w:val="3"/>
        </w:numPr>
        <w:spacing w:after="60" w:line="290"/>
      </w:pPr>
      <w:r>
        <w:rPr>
          <w:sz w:val="21"/>
          <w:szCs w:val="21"/>
        </w:rPr>
        <w:t xml:space="preserve">Risco: dependência de Excel como formato de entrada — clientes que já usam ERP de RH integrado podem não precisar do produto. ICP prioritário (seção 3) já filtra isso.</w:t>
      </w:r>
    </w:p>
    <w:p>
      <w:pPr>
        <w:pStyle w:val="ListParagraph"/>
        <w:numPr>
          <w:ilvl w:val="0"/>
          <w:numId w:val="3"/>
        </w:numPr>
        <w:spacing w:after="60" w:line="290"/>
      </w:pPr>
      <w:r>
        <w:rPr>
          <w:sz w:val="21"/>
          <w:szCs w:val="21"/>
        </w:rPr>
        <w:t xml:space="preserve">Premissa: processamento client-side continua viável em planilhas de até dezenas de milhares de linhas no navegador — validar com teste de carga antes do MVP fechar escopo.</w:t>
      </w:r>
    </w:p>
    <w:p>
      <w:pPr>
        <w:pStyle w:val="Heading1"/>
        <w:pBdr>
          <w:bottom w:val="single" w:color="1B2A4A" w:sz="6" w:space="4"/>
        </w:pBdr>
        <w:spacing w:after="200" w:before="400"/>
      </w:pPr>
      <w:r>
        <w:rPr>
          <w:b/>
          <w:bCs/>
          <w:color w:val="1B2A4A"/>
          <w:sz w:val="30"/>
          <w:szCs w:val="30"/>
        </w:rPr>
        <w:t xml:space="preserve">18. Critérios de Aceitação</w:t>
      </w:r>
    </w:p>
    <w:p>
      <w:pPr>
        <w:pStyle w:val="ListParagraph"/>
        <w:numPr>
          <w:ilvl w:val="0"/>
          <w:numId w:val="2"/>
        </w:numPr>
        <w:spacing w:after="60" w:line="290"/>
      </w:pPr>
      <w:r>
        <w:rPr>
          <w:sz w:val="21"/>
          <w:szCs w:val="21"/>
        </w:rPr>
        <w:t xml:space="preserve">Tenant consegue se cadastrar, autenticar e ter um tenant criado automaticamente.</w:t>
      </w:r>
    </w:p>
    <w:p>
      <w:pPr>
        <w:pStyle w:val="ListParagraph"/>
        <w:numPr>
          <w:ilvl w:val="0"/>
          <w:numId w:val="2"/>
        </w:numPr>
        <w:spacing w:after="60" w:line="290"/>
      </w:pPr>
      <w:r>
        <w:rPr>
          <w:sz w:val="21"/>
          <w:szCs w:val="21"/>
        </w:rPr>
        <w:t xml:space="preserve">Tenant consegue configurar (ou usar o template padrão) um layout de planilha sem intervenção de desenvolvedor.</w:t>
      </w:r>
    </w:p>
    <w:p>
      <w:pPr>
        <w:pStyle w:val="ListParagraph"/>
        <w:numPr>
          <w:ilvl w:val="0"/>
          <w:numId w:val="2"/>
        </w:numPr>
        <w:spacing w:after="60" w:line="290"/>
      </w:pPr>
      <w:r>
        <w:rPr>
          <w:sz w:val="21"/>
          <w:szCs w:val="21"/>
        </w:rPr>
        <w:t xml:space="preserve">Sistema aceita apenas arquivos .xlsx e valida as abas obrigatórias do layout configurado.</w:t>
      </w:r>
    </w:p>
    <w:p>
      <w:pPr>
        <w:pStyle w:val="ListParagraph"/>
        <w:numPr>
          <w:ilvl w:val="0"/>
          <w:numId w:val="2"/>
        </w:numPr>
        <w:spacing w:after="60" w:line="290"/>
      </w:pPr>
      <w:r>
        <w:rPr>
          <w:sz w:val="21"/>
          <w:szCs w:val="21"/>
        </w:rPr>
        <w:t xml:space="preserve">Sistema localiza corretamente os cabeçalhos conforme regra configurada (marcador ou linha fixa).</w:t>
      </w:r>
    </w:p>
    <w:p>
      <w:pPr>
        <w:pStyle w:val="ListParagraph"/>
        <w:numPr>
          <w:ilvl w:val="0"/>
          <w:numId w:val="2"/>
        </w:numPr>
        <w:spacing w:after="60" w:line="290"/>
      </w:pPr>
      <w:r>
        <w:rPr>
          <w:sz w:val="21"/>
          <w:szCs w:val="21"/>
        </w:rPr>
        <w:t xml:space="preserve">Sistema gera os eventos conforme as regras configuradas por tenant.</w:t>
      </w:r>
    </w:p>
    <w:p>
      <w:pPr>
        <w:pStyle w:val="ListParagraph"/>
        <w:numPr>
          <w:ilvl w:val="0"/>
          <w:numId w:val="2"/>
        </w:numPr>
        <w:spacing w:after="60" w:line="290"/>
      </w:pPr>
      <w:r>
        <w:rPr>
          <w:sz w:val="21"/>
          <w:szCs w:val="21"/>
        </w:rPr>
        <w:t xml:space="preserve">Sistema converte corretamente horas em texto para decimal.</w:t>
      </w:r>
    </w:p>
    <w:p>
      <w:pPr>
        <w:pStyle w:val="ListParagraph"/>
        <w:numPr>
          <w:ilvl w:val="0"/>
          <w:numId w:val="2"/>
        </w:numPr>
        <w:spacing w:after="60" w:line="290"/>
      </w:pPr>
      <w:r>
        <w:rPr>
          <w:sz w:val="21"/>
          <w:szCs w:val="21"/>
        </w:rPr>
        <w:t xml:space="preserve">Sistema gera o CSV exatamente no layout parametrizado, com rodapé de totais correto.</w:t>
      </w:r>
    </w:p>
    <w:p>
      <w:pPr>
        <w:pStyle w:val="ListParagraph"/>
        <w:numPr>
          <w:ilvl w:val="0"/>
          <w:numId w:val="2"/>
        </w:numPr>
        <w:spacing w:after="60" w:line="290"/>
      </w:pPr>
      <w:r>
        <w:rPr>
          <w:sz w:val="21"/>
          <w:szCs w:val="21"/>
        </w:rPr>
        <w:t xml:space="preserve">Sistema exibe resumo do processamento e preview dos primeiros 20 registros.</w:t>
      </w:r>
    </w:p>
    <w:p>
      <w:pPr>
        <w:pStyle w:val="ListParagraph"/>
        <w:numPr>
          <w:ilvl w:val="0"/>
          <w:numId w:val="2"/>
        </w:numPr>
        <w:spacing w:after="60" w:line="290"/>
      </w:pPr>
      <w:r>
        <w:rPr>
          <w:sz w:val="21"/>
          <w:szCs w:val="21"/>
        </w:rPr>
        <w:t xml:space="preserve">Conversão é registrada em log de auditoria com metadados agregados (nunca dado individual).</w:t>
      </w:r>
    </w:p>
    <w:p>
      <w:pPr>
        <w:pStyle w:val="ListParagraph"/>
        <w:numPr>
          <w:ilvl w:val="0"/>
          <w:numId w:val="2"/>
        </w:numPr>
        <w:spacing w:after="60" w:line="290"/>
      </w:pPr>
      <w:r>
        <w:rPr>
          <w:sz w:val="21"/>
          <w:szCs w:val="21"/>
        </w:rPr>
        <w:t xml:space="preserve">Sistema bloqueia ou avisa corretamente ao atingir limite do plano contratado.</w:t>
      </w:r>
    </w:p>
    <w:p>
      <w:pPr>
        <w:pStyle w:val="ListParagraph"/>
        <w:numPr>
          <w:ilvl w:val="0"/>
          <w:numId w:val="2"/>
        </w:numPr>
        <w:spacing w:after="60" w:line="290"/>
      </w:pPr>
      <w:r>
        <w:rPr>
          <w:sz w:val="21"/>
          <w:szCs w:val="21"/>
        </w:rPr>
        <w:t xml:space="preserve">Cobrança recorrente via Stripe funciona para upgrade, downgrade e cancelamento.</w:t>
      </w:r>
    </w:p>
    <w:p>
      <w:pPr>
        <w:pStyle w:val="ListParagraph"/>
        <w:numPr>
          <w:ilvl w:val="0"/>
          <w:numId w:val="2"/>
        </w:numPr>
        <w:spacing w:after="60" w:line="290"/>
      </w:pPr>
      <w:r>
        <w:rPr>
          <w:sz w:val="21"/>
          <w:szCs w:val="21"/>
        </w:rPr>
        <w:t xml:space="preserve">Aplicação funciona 100% no navegador para o processamento de arquivo, sem envio de conteúdo de planilha ao backend.</w:t>
      </w:r>
    </w:p>
    <w:p>
      <w:pPr>
        <w:pStyle w:val="ListParagraph"/>
        <w:numPr>
          <w:ilvl w:val="0"/>
          <w:numId w:val="2"/>
        </w:numPr>
        <w:spacing w:after="60" w:line="290"/>
      </w:pPr>
      <w:r>
        <w:rPr>
          <w:sz w:val="21"/>
          <w:szCs w:val="21"/>
        </w:rPr>
        <w:t xml:space="preserve">Projeto pronto para deploy na Vercel (front) e Supabase Cloud (backend), sem erros de compilação ou TypeScript.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r>
    <w:r>
      <w:rPr>
        <w:color w:val="6B7280"/>
        <w:sz w:val="16"/>
        <w:szCs w:val="16"/>
      </w:rPr>
      <w:fldChar w:fldCharType="begin"/>
      <w:instrText xml:space="preserve">PAGE</w:instrText>
      <w:fldChar w:fldCharType="separate"/>
      <w:fldChar w:fldCharType="end"/>
    </w:r>
    <w:r>
      <w:rPr>
        <w:color w:val="6B7280"/>
        <w:sz w:val="16"/>
        <w:szCs w:val="16"/>
      </w:rPr>
      <w:t xml:space="preserve"> de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PRD — Conversor de Eventos da Folha (SaaS)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2026-07-23T02:30:54.166Z</dcterms:created>
  <dcterms:modified xsi:type="dcterms:W3CDTF">2026-07-23T02:30:54.166Z</dcterms:modified>
</cp:coreProperties>
</file>

<file path=docProps/custom.xml><?xml version="1.0" encoding="utf-8"?>
<Properties xmlns="http://schemas.openxmlformats.org/officeDocument/2006/custom-properties" xmlns:vt="http://schemas.openxmlformats.org/officeDocument/2006/docPropsVTypes"/>
</file>