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04B46"/>
          <w:sz w:val="40"/>
          <w:szCs w:val="40"/>
        </w:rPr>
        <w:t xml:space="preserve">Desafio 010 · Vertex Tennis</w:t>
      </w:r>
    </w:p>
    <w:p>
      <w:pPr>
        <w:pBdr>
          <w:bottom w:val="single" w:color="007D73" w:sz="8" w:space="6"/>
        </w:pBdr>
        <w:spacing w:after="200"/>
      </w:pPr>
      <w:r>
        <w:rPr>
          <w:rFonts w:ascii="Segoe UI" w:cs="Segoe UI" w:eastAsia="Segoe UI" w:hAnsi="Segoe UI"/>
          <w:color w:val="597772"/>
          <w:sz w:val="22"/>
          <w:szCs w:val="22"/>
        </w:rPr>
        <w:t xml:space="preserve">Documentação da solução em Power BI: perguntas de negócio, modelo, medidas e leitura dos dados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Autor: </w:t>
      </w:r>
      <w:r>
        <w:rPr>
          <w:rFonts w:ascii="Segoe UI" w:cs="Segoe UI" w:eastAsia="Segoe UI" w:hAnsi="Segoe UI"/>
          <w:sz w:val="21"/>
          <w:szCs w:val="21"/>
        </w:rPr>
        <w:t xml:space="preserve">Valber Santana · Data Mining    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Desafio: </w:t>
      </w:r>
      <w:r>
        <w:rPr>
          <w:rFonts w:ascii="Segoe UI" w:cs="Segoe UI" w:eastAsia="Segoe UI" w:hAnsi="Segoe UI"/>
          <w:sz w:val="21"/>
          <w:szCs w:val="21"/>
        </w:rPr>
        <w:t xml:space="preserve">Xperiun · Dashboard Vertex Tennis    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Ano de análise: </w:t>
      </w:r>
      <w:r>
        <w:rPr>
          <w:rFonts w:ascii="Segoe UI" w:cs="Segoe UI" w:eastAsia="Segoe UI" w:hAnsi="Segoe UI"/>
          <w:sz w:val="21"/>
          <w:szCs w:val="21"/>
        </w:rPr>
        <w:t xml:space="preserve">2024 vs 2023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004B46"/>
          <w:sz w:val="30"/>
          <w:szCs w:val="30"/>
        </w:rPr>
        <w:t xml:space="preserve">1. Contexto e objetivo</w:t>
      </w:r>
    </w:p>
    <w:p>
      <w:pPr>
        <w:spacing w:after="120" w:line="300"/>
      </w:pPr>
      <w:r>
        <w:rPr>
          <w:rFonts w:ascii="Segoe UI" w:cs="Segoe UI" w:eastAsia="Segoe UI" w:hAnsi="Segoe UI"/>
          <w:sz w:val="21"/>
          <w:szCs w:val="21"/>
        </w:rPr>
        <w:t xml:space="preserve">A Vertex Tennis vende equipamentos de tênis (raquetes, bolas, calçados, vestuário e acessórios) para cinco segmentos de clientes em todos os estados do Brasil. O desafio pede um dashboard executivo de três páginas, com a identidade visual e o layout do cliente, que responda a seis perguntas centrais sobre desempenho, geografia e produtos.</w:t>
      </w:r>
    </w:p>
    <w:p>
      <w:pPr>
        <w:spacing w:after="120" w:line="300"/>
      </w:pPr>
      <w:r>
        <w:rPr>
          <w:rFonts w:ascii="Segoe UI" w:cs="Segoe UI" w:eastAsia="Segoe UI" w:hAnsi="Segoe UI"/>
          <w:sz w:val="21"/>
          <w:szCs w:val="21"/>
        </w:rPr>
        <w:t xml:space="preserve">A entrega foi construída como projeto Power BI em formato de texto (PBIP/PBIR/TMDL), versionado no GitHub, com modelo estrela, medidas DAX documentadas e visuais definidos por código. Isso permite revisar, reaproveitar e reproduzir cada decisão.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004B46"/>
          <w:sz w:val="30"/>
          <w:szCs w:val="30"/>
        </w:rPr>
        <w:t xml:space="preserve">2. Dados e modelo</w:t>
      </w:r>
    </w:p>
    <w:p>
      <w:pPr>
        <w:spacing w:after="120" w:line="300"/>
      </w:pPr>
      <w:r>
        <w:rPr>
          <w:rFonts w:ascii="Segoe UI" w:cs="Segoe UI" w:eastAsia="Segoe UI" w:hAnsi="Segoe UI"/>
          <w:sz w:val="21"/>
          <w:szCs w:val="21"/>
        </w:rPr>
        <w:t xml:space="preserve">A fonte é uma planilha com três abas: Vendas (24.543 linhas, grão mês × segmento × estado × subcategoria), Subcategorias (29 itens, com custo e preço unitário padrão) e Categorias (8 itens). O período cobre 2022 a 2024.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Ponto de atenção: </w:t>
      </w:r>
      <w:r>
        <w:rPr>
          <w:rFonts w:ascii="Segoe UI" w:cs="Segoe UI" w:eastAsia="Segoe UI" w:hAnsi="Segoe UI"/>
          <w:sz w:val="21"/>
          <w:szCs w:val="21"/>
        </w:rPr>
        <w:t xml:space="preserve">a base não traz valor monetário por venda. O faturamento e o custo são derivados de quantidade × preço (ou custo) unitário padrão da subcategoria. Consequência: a margem bruta % só varia com o mix de produtos, nunca com desconto ou reajuste. Isso está declarado no dashboard e nesta documentação.</w:t>
      </w:r>
    </w:p>
    <w:p>
      <w:pPr>
        <w:pStyle w:val="Heading2"/>
        <w:spacing w:after="100" w:before="220"/>
      </w:pPr>
      <w:r>
        <w:rPr>
          <w:rFonts w:ascii="Segoe UI" w:cs="Segoe UI" w:eastAsia="Segoe UI" w:hAnsi="Segoe UI"/>
          <w:b/>
          <w:bCs/>
          <w:color w:val="007D73"/>
          <w:sz w:val="24"/>
          <w:szCs w:val="24"/>
        </w:rPr>
        <w:t xml:space="preserve">Modelo estrela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shd w:fill="007D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3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shd w:fill="007D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Papel e grão</w:t>
            </w:r>
          </w:p>
        </w:tc>
        <w:tc>
          <w:tcPr>
            <w:tcW w:type="dxa" w:w="38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shd w:fill="007D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Chaves e observações</w:t>
            </w:r>
          </w:p>
        </w:tc>
      </w:tr>
      <w:tr>
        <w:tc>
          <w:tcPr>
            <w:tcW w:type="dxa" w:w="23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fVendas</w:t>
            </w:r>
          </w:p>
        </w:tc>
        <w:tc>
          <w:tcPr>
            <w:tcW w:type="dxa" w:w="3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Fato: mês × segmento × estado × subcategoria</w:t>
            </w:r>
          </w:p>
        </w:tc>
        <w:tc>
          <w:tcPr>
            <w:tcW w:type="dxa" w:w="38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Data, Segmento, Estado, IdSubcategoria, QuantidadeItens</w:t>
            </w:r>
          </w:p>
        </w:tc>
      </w:tr>
      <w:tr>
        <w:tc>
          <w:tcPr>
            <w:tcW w:type="dxa" w:w="23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dProduto</w:t>
            </w:r>
          </w:p>
        </w:tc>
        <w:tc>
          <w:tcPr>
            <w:tcW w:type="dxa" w:w="3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Dimensão desnormalizada (subcategoria + categoria)</w:t>
            </w:r>
          </w:p>
        </w:tc>
        <w:tc>
          <w:tcPr>
            <w:tcW w:type="dxa" w:w="38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IdSubcategoria. Coluna SubcategoriaCategoria resolve o nome "Infantis", que existe em Raquetes e em Bolas</w:t>
            </w:r>
          </w:p>
        </w:tc>
      </w:tr>
      <w:tr>
        <w:tc>
          <w:tcPr>
            <w:tcW w:type="dxa" w:w="23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dGeografia</w:t>
            </w:r>
          </w:p>
        </w:tc>
        <w:tc>
          <w:tcPr>
            <w:tcW w:type="dxa" w:w="3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Estado e Região</w:t>
            </w:r>
          </w:p>
        </w:tc>
        <w:tc>
          <w:tcPr>
            <w:tcW w:type="dxa" w:w="38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Estado (27 valores)</w:t>
            </w:r>
          </w:p>
        </w:tc>
      </w:tr>
      <w:tr>
        <w:tc>
          <w:tcPr>
            <w:tcW w:type="dxa" w:w="23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dSegmento</w:t>
            </w:r>
          </w:p>
        </w:tc>
        <w:tc>
          <w:tcPr>
            <w:tcW w:type="dxa" w:w="3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Segmento de cliente</w:t>
            </w:r>
          </w:p>
        </w:tc>
        <w:tc>
          <w:tcPr>
            <w:tcW w:type="dxa" w:w="38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Segmento (5 valores)</w:t>
            </w:r>
          </w:p>
        </w:tc>
      </w:tr>
      <w:tr>
        <w:tc>
          <w:tcPr>
            <w:tcW w:type="dxa" w:w="23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dCalendario</w:t>
            </w:r>
          </w:p>
        </w:tc>
        <w:tc>
          <w:tcPr>
            <w:tcW w:type="dxa" w:w="3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Calendário marcado como tabela de datas</w:t>
            </w:r>
          </w:p>
        </w:tc>
        <w:tc>
          <w:tcPr>
            <w:tcW w:type="dxa" w:w="38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Data; Ano, Mês (com ordenação numérica), AnoMes, Trimestre</w:t>
            </w:r>
          </w:p>
        </w:tc>
      </w:tr>
      <w:tr>
        <w:tc>
          <w:tcPr>
            <w:tcW w:type="dxa" w:w="23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Medidas</w:t>
            </w:r>
          </w:p>
        </w:tc>
        <w:tc>
          <w:tcPr>
            <w:tcW w:type="dxa" w:w="3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Tabela só de medidas, com pastas de exibição</w:t>
            </w:r>
          </w:p>
        </w:tc>
        <w:tc>
          <w:tcPr>
            <w:tcW w:type="dxa" w:w="38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Faturamento, margem, comparativos, participação</w:t>
            </w:r>
          </w:p>
        </w:tc>
      </w:tr>
    </w:tbl>
    <w:p>
      <w:pPr>
        <w:spacing w:after="120" w:before="120"/>
      </w:pPr>
      <w:r>
        <w:rPr>
          <w:rFonts w:ascii="Segoe UI" w:cs="Segoe UI" w:eastAsia="Segoe UI" w:hAnsi="Segoe UI"/>
          <w:sz w:val="21"/>
          <w:szCs w:val="21"/>
        </w:rPr>
        <w:t xml:space="preserve">Relacionamentos um-para-muitos, direção única, das dimensões para a fato. A tabela de datas alimenta todas as comparações com o ano anterior.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004B46"/>
          <w:sz w:val="30"/>
          <w:szCs w:val="30"/>
        </w:rPr>
        <w:t xml:space="preserve">3. Medidas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460"/>
      </w:tblGrid>
      <w:tr>
        <w:trPr>
          <w:tblHeader/>
        </w:trPr>
        <w:tc>
          <w:tcPr>
            <w:tcW w:type="dxa" w:w="27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shd w:fill="007D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shd w:fill="007D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Lógica (DAX resumido)</w:t>
            </w:r>
          </w:p>
        </w:tc>
        <w:tc>
          <w:tcPr>
            <w:tcW w:type="dxa" w:w="24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shd w:fill="007D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7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Faturamento</w:t>
            </w:r>
          </w:p>
        </w:tc>
        <w:tc>
          <w:tcPr>
            <w:tcW w:type="dxa" w:w="4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SUMX(fVendas, Quantidade × RELATED(PrecoUnitario))</w:t>
            </w:r>
          </w:p>
        </w:tc>
        <w:tc>
          <w:tcPr>
            <w:tcW w:type="dxa" w:w="24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Base de tudo</w:t>
            </w:r>
          </w:p>
        </w:tc>
      </w:tr>
      <w:tr>
        <w:tc>
          <w:tcPr>
            <w:tcW w:type="dxa" w:w="27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Margem Bruta %</w:t>
            </w:r>
          </w:p>
        </w:tc>
        <w:tc>
          <w:tcPr>
            <w:tcW w:type="dxa" w:w="4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DIVIDE(Faturamento − Custo, Faturamento)</w:t>
            </w:r>
          </w:p>
        </w:tc>
        <w:tc>
          <w:tcPr>
            <w:tcW w:type="dxa" w:w="24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KPI</w:t>
            </w:r>
          </w:p>
        </w:tc>
      </w:tr>
      <w:tr>
        <w:tc>
          <w:tcPr>
            <w:tcW w:type="dxa" w:w="27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Faturamento Ano Anterior</w:t>
            </w:r>
          </w:p>
        </w:tc>
        <w:tc>
          <w:tcPr>
            <w:tcW w:type="dxa" w:w="4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CALCULATE([Faturamento], DATEADD(Data, -1, YEAR))</w:t>
            </w:r>
          </w:p>
        </w:tc>
        <w:tc>
          <w:tcPr>
            <w:tcW w:type="dxa" w:w="24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Comparativos</w:t>
            </w:r>
          </w:p>
        </w:tc>
      </w:tr>
      <w:tr>
        <w:tc>
          <w:tcPr>
            <w:tcW w:type="dxa" w:w="27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Faturamento YoY %</w:t>
            </w:r>
          </w:p>
        </w:tc>
        <w:tc>
          <w:tcPr>
            <w:tcW w:type="dxa" w:w="4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DIVIDE(Atual − Anterior, Anterior)</w:t>
            </w:r>
          </w:p>
        </w:tc>
        <w:tc>
          <w:tcPr>
            <w:tcW w:type="dxa" w:w="24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Barras, KPI, tooltips</w:t>
            </w:r>
          </w:p>
        </w:tc>
      </w:tr>
      <w:tr>
        <w:tc>
          <w:tcPr>
            <w:tcW w:type="dxa" w:w="27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Faltante para Ano Anterior</w:t>
            </w:r>
          </w:p>
        </w:tc>
        <w:tc>
          <w:tcPr>
            <w:tcW w:type="dxa" w:w="4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Anterior − Atual, positivo enquanto o ano corrente não alcançou o anterior</w:t>
            </w:r>
          </w:p>
        </w:tc>
        <w:tc>
          <w:tcPr>
            <w:tcW w:type="dxa" w:w="24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Tooltip do gráfico mensal</w:t>
            </w:r>
          </w:p>
        </w:tc>
      </w:tr>
      <w:tr>
        <w:tc>
          <w:tcPr>
            <w:tcW w:type="dxa" w:w="27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Faturamento YoY % Queda</w:t>
            </w:r>
          </w:p>
        </w:tc>
        <w:tc>
          <w:tcPr>
            <w:tcW w:type="dxa" w:w="4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Devolve o YoY apenas quando negativo</w:t>
            </w:r>
          </w:p>
        </w:tc>
        <w:tc>
          <w:tcPr>
            <w:tcW w:type="dxa" w:w="24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Tabela de quedas</w:t>
            </w:r>
          </w:p>
        </w:tc>
      </w:tr>
      <w:tr>
        <w:tc>
          <w:tcPr>
            <w:tcW w:type="dxa" w:w="27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Participação %</w:t>
            </w:r>
          </w:p>
        </w:tc>
        <w:tc>
          <w:tcPr>
            <w:tcW w:type="dxa" w:w="4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Faturamento ÷ faturamento dos itens selecionados</w:t>
            </w:r>
          </w:p>
        </w:tc>
        <w:tc>
          <w:tcPr>
            <w:tcW w:type="dxa" w:w="24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Tooltips</w:t>
            </w:r>
          </w:p>
        </w:tc>
      </w:tr>
      <w:tr>
        <w:tc>
          <w:tcPr>
            <w:tcW w:type="dxa" w:w="27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Participação Acumulada %</w:t>
            </w:r>
          </w:p>
        </w:tc>
        <w:tc>
          <w:tcPr>
            <w:tcW w:type="dxa" w:w="420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Soma acumulada em ordem decrescente, com critério de desempate por nome</w:t>
            </w:r>
          </w:p>
        </w:tc>
        <w:tc>
          <w:tcPr>
            <w:tcW w:type="dxa" w:w="2460"/>
            <w:tcBorders>
              <w:top w:val="single" w:color="BFD9D5" w:sz="4"/>
              <w:left w:val="single" w:color="BFD9D5" w:sz="4"/>
              <w:bottom w:val="single" w:color="BFD9D5" w:sz="4"/>
              <w:right w:val="single" w:color="BFD9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D2B"/>
                <w:sz w:val="19"/>
                <w:szCs w:val="19"/>
              </w:rPr>
              <w:t xml:space="preserve">Curva ABC</w:t>
            </w:r>
          </w:p>
        </w:tc>
      </w:tr>
    </w:tbl>
    <w:p>
      <w:pPr>
        <w:spacing w:after="120" w:before="12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Decisão de modelagem: </w:t>
      </w:r>
      <w:r>
        <w:rPr>
          <w:rFonts w:ascii="Segoe UI" w:cs="Segoe UI" w:eastAsia="Segoe UI" w:hAnsi="Segoe UI"/>
          <w:sz w:val="21"/>
          <w:szCs w:val="21"/>
        </w:rPr>
        <w:t xml:space="preserve">a Participação Acumulada % precisou de desempate. Quando duas subcategorias têm o mesmo faturamento (por exemplo, Quadra Dura e Saibro), uma soma acumulada simples conta as duas juntas e a curva deixa de ser monotônica. O desempate por nome resolve.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004B46"/>
          <w:sz w:val="30"/>
          <w:szCs w:val="30"/>
        </w:rPr>
        <w:t xml:space="preserve">4. Páginas: perguntas, solução e leitura dos dados</w:t>
      </w:r>
    </w:p>
    <w:p>
      <w:pPr>
        <w:spacing w:after="120" w:line="300"/>
      </w:pPr>
      <w:r>
        <w:rPr>
          <w:rFonts w:ascii="Segoe UI" w:cs="Segoe UI" w:eastAsia="Segoe UI" w:hAnsi="Segoe UI"/>
          <w:sz w:val="21"/>
          <w:szCs w:val="21"/>
        </w:rPr>
        <w:t xml:space="preserve">Os números abaixo são de 2024 contra 2023 e foram conferidos por um cálculo independente em Python sobre a planilha original, com diferença zero em faturamento, custo, margem e itens.</w:t>
      </w:r>
    </w:p>
    <w:p>
      <w:pPr>
        <w:pStyle w:val="Heading2"/>
        <w:spacing w:after="100" w:before="220"/>
      </w:pPr>
      <w:r>
        <w:rPr>
          <w:rFonts w:ascii="Segoe UI" w:cs="Segoe UI" w:eastAsia="Segoe UI" w:hAnsi="Segoe UI"/>
          <w:b/>
          <w:bCs/>
          <w:color w:val="007D73"/>
          <w:sz w:val="24"/>
          <w:szCs w:val="24"/>
        </w:rPr>
        <w:t xml:space="preserve">Página 1 · Visão Executiva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Perguntas: </w:t>
      </w:r>
      <w:r>
        <w:rPr>
          <w:rFonts w:ascii="Segoe UI" w:cs="Segoe UI" w:eastAsia="Segoe UI" w:hAnsi="Segoe UI"/>
          <w:sz w:val="21"/>
          <w:szCs w:val="21"/>
        </w:rPr>
        <w:t xml:space="preserve">Como está o desempenho do mês/ano escolhido? E no histórico, quanto falta para alcançar o faturamento do ano anterior? Quais categorias mais venderam e em quais houve crescimento? Para quais segmentos e em quais regiões vendemos mais?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Solução: </w:t>
      </w:r>
      <w:r>
        <w:rPr>
          <w:rFonts w:ascii="Segoe UI" w:cs="Segoe UI" w:eastAsia="Segoe UI" w:hAnsi="Segoe UI"/>
          <w:sz w:val="21"/>
          <w:szCs w:val="21"/>
        </w:rPr>
        <w:t xml:space="preserve">filtros de Mês e Ano na própria frase do título; painel de três KPIs (Faturamento, Margem Bruta %, Quantidade de Itens) cada um com a variação sobre o ano anterior, em verde-escuro quando cresce e Mahogany quando cai; colunas mensais de faturamento ao lado do ano anterior, no mesmo eixo; barras de faturamento por categoria, segmento e região com a cor da barra indicando crescimento ou queda.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O que os dados mostram: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Resultado do ano:</w:t>
      </w:r>
      <w:r>
        <w:rPr>
          <w:rFonts w:ascii="Segoe UI" w:cs="Segoe UI" w:eastAsia="Segoe UI" w:hAnsi="Segoe UI"/>
          <w:sz w:val="21"/>
          <w:szCs w:val="21"/>
        </w:rPr>
        <w:t xml:space="preserve"> faturamento de R$ 8,37 milhões (+25,5%), com 215,2 mil itens (+32,2%). A margem bruta ficou em 44,9%, praticamente estável (44,6% em 2023).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Histórico mensal:</w:t>
      </w:r>
      <w:r>
        <w:rPr>
          <w:rFonts w:ascii="Segoe UI" w:cs="Segoe UI" w:eastAsia="Segoe UI" w:hAnsi="Segoe UI"/>
          <w:sz w:val="21"/>
          <w:szCs w:val="21"/>
        </w:rPr>
        <w:t xml:space="preserve"> todos os 12 meses de 2024 superaram o mesmo mês de 2023. Janeiro teve o maior salto (+103%) e novembro o menor (+10%).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Categorias:</w:t>
      </w:r>
      <w:r>
        <w:rPr>
          <w:rFonts w:ascii="Segoe UI" w:cs="Segoe UI" w:eastAsia="Segoe UI" w:hAnsi="Segoe UI"/>
          <w:sz w:val="21"/>
          <w:szCs w:val="21"/>
        </w:rPr>
        <w:t xml:space="preserve"> Raquetes lideram (28,8%), mas quem mais cresceu foi Bolsas e Mochilas (+79,9%) e Grips e Overgrips (+50,9%).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Segmentos:</w:t>
      </w:r>
      <w:r>
        <w:rPr>
          <w:rFonts w:ascii="Segoe UI" w:cs="Segoe UI" w:eastAsia="Segoe UI" w:hAnsi="Segoe UI"/>
          <w:sz w:val="21"/>
          <w:szCs w:val="21"/>
        </w:rPr>
        <w:t xml:space="preserve"> Loja Especializada concentra 42% do faturamento. Clube de Tênis (+60,5%) e Academia de Tênis (+40,7%) crescem mais rápido, ainda sobre base pequena.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Regiões:</w:t>
      </w:r>
      <w:r>
        <w:rPr>
          <w:rFonts w:ascii="Segoe UI" w:cs="Segoe UI" w:eastAsia="Segoe UI" w:hAnsi="Segoe UI"/>
          <w:sz w:val="21"/>
          <w:szCs w:val="21"/>
        </w:rPr>
        <w:t xml:space="preserve"> o Sudeste responde por 64% das vendas. Norte (+122%) e Centro-Oeste (+69%) crescem mais; o Sul quase estagnou (+4,6%).</w:t>
      </w:r>
    </w:p>
    <w:p>
      <w:pPr>
        <w:pStyle w:val="Heading2"/>
        <w:spacing w:after="100" w:before="220"/>
      </w:pPr>
      <w:r>
        <w:rPr>
          <w:rFonts w:ascii="Segoe UI" w:cs="Segoe UI" w:eastAsia="Segoe UI" w:hAnsi="Segoe UI"/>
          <w:b/>
          <w:bCs/>
          <w:color w:val="007D73"/>
          <w:sz w:val="24"/>
          <w:szCs w:val="24"/>
        </w:rPr>
        <w:t xml:space="preserve">Página 2 · Visão Regional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Perguntas: </w:t>
      </w:r>
      <w:r>
        <w:rPr>
          <w:rFonts w:ascii="Segoe UI" w:cs="Segoe UI" w:eastAsia="Segoe UI" w:hAnsi="Segoe UI"/>
          <w:sz w:val="21"/>
          <w:szCs w:val="21"/>
        </w:rPr>
        <w:t xml:space="preserve">Onde está a concentração do faturamento? Quem cresceu mais ou menos? Como foi o crescimento da margem bruta nos estados? Quais segmentos por estado caíram?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Solução: </w:t>
      </w:r>
      <w:r>
        <w:rPr>
          <w:rFonts w:ascii="Segoe UI" w:cs="Segoe UI" w:eastAsia="Segoe UI" w:hAnsi="Segoe UI"/>
          <w:sz w:val="21"/>
          <w:szCs w:val="21"/>
        </w:rPr>
        <w:t xml:space="preserve">treemap de faturamento por estado com gradiente de verde; barras de variação de faturamento e de margem bruta por estado, ordenadas da maior alta para a maior queda; tabela que lista apenas as combinações estado × segmento em queda, do pior caso para o menos grave, com o valor em Mahogany. Os filtros de Mês e Ano ficam sob o título "Filtros" e acompanham as demais páginas.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O que os dados mostram: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Concentração:</w:t>
      </w:r>
      <w:r>
        <w:rPr>
          <w:rFonts w:ascii="Segoe UI" w:cs="Segoe UI" w:eastAsia="Segoe UI" w:hAnsi="Segoe UI"/>
          <w:sz w:val="21"/>
          <w:szCs w:val="21"/>
        </w:rPr>
        <w:t xml:space="preserve"> São Paulo, Rio de Janeiro e Minas Gerais somam 60,8% do faturamento; só São Paulo tem 32,2%.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Crescimento:</w:t>
      </w:r>
      <w:r>
        <w:rPr>
          <w:rFonts w:ascii="Segoe UI" w:cs="Segoe UI" w:eastAsia="Segoe UI" w:hAnsi="Segoe UI"/>
          <w:sz w:val="21"/>
          <w:szCs w:val="21"/>
        </w:rPr>
        <w:t xml:space="preserve"> Tocantins (+307%), Roraima (+293%), Goiás (+201%) e Pernambuco (+122%) cresceram mais, todos sobre base pequena. Santa Catarina (-6,8%) e Rio Grande do Sul (-3,6%) são os únicos entre os dez maiores estados que caíram, e ambos são do Sul.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Margem:</w:t>
      </w:r>
      <w:r>
        <w:rPr>
          <w:rFonts w:ascii="Segoe UI" w:cs="Segoe UI" w:eastAsia="Segoe UI" w:hAnsi="Segoe UI"/>
          <w:sz w:val="21"/>
          <w:szCs w:val="21"/>
        </w:rPr>
        <w:t xml:space="preserve"> as maiores quedas de margem bruta foram Distrito Federal (-93,6%), Bahia (-40,8%) e Rio Grande do Norte (-32,8%).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Quedas por segmento:</w:t>
      </w:r>
      <w:r>
        <w:rPr>
          <w:rFonts w:ascii="Segoe UI" w:cs="Segoe UI" w:eastAsia="Segoe UI" w:hAnsi="Segoe UI"/>
          <w:sz w:val="21"/>
          <w:szCs w:val="21"/>
        </w:rPr>
        <w:t xml:space="preserve"> 18 das 59 combinações estado × segmento com venda em 2023 caíram em 2024. Três zeraram: Loja Especializada em Amazonas e em Santa Catarina, e Distribuidor Atacadista no Espírito Santo. É a lista de contas para o time comercial revisar primeiro.</w:t>
      </w:r>
    </w:p>
    <w:p>
      <w:pPr>
        <w:pStyle w:val="Heading2"/>
        <w:spacing w:after="100" w:before="220"/>
      </w:pPr>
      <w:r>
        <w:rPr>
          <w:rFonts w:ascii="Segoe UI" w:cs="Segoe UI" w:eastAsia="Segoe UI" w:hAnsi="Segoe UI"/>
          <w:b/>
          <w:bCs/>
          <w:color w:val="007D73"/>
          <w:sz w:val="24"/>
          <w:szCs w:val="24"/>
        </w:rPr>
        <w:t xml:space="preserve">Página 3 · Visão de Produtos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Perguntas: </w:t>
      </w:r>
      <w:r>
        <w:rPr>
          <w:rFonts w:ascii="Segoe UI" w:cs="Segoe UI" w:eastAsia="Segoe UI" w:hAnsi="Segoe UI"/>
          <w:sz w:val="21"/>
          <w:szCs w:val="21"/>
        </w:rPr>
        <w:t xml:space="preserve">Quais subcategorias são responsáveis por 80% do faturamento? Como foi o faturamento ao longo do tempo? Quais subcategorias e categorias evoluíram?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Solução: </w:t>
      </w:r>
      <w:r>
        <w:rPr>
          <w:rFonts w:ascii="Segoe UI" w:cs="Segoe UI" w:eastAsia="Segoe UI" w:hAnsi="Segoe UI"/>
          <w:sz w:val="21"/>
          <w:szCs w:val="21"/>
        </w:rPr>
        <w:t xml:space="preserve">curva ABC (Pareto) com colunas de faturamento por subcategoria e linha de participação acumulada; a linha do tempo abaixo reage ao clique em qualquer subcategoria da curva; barras de variação por subcategoria, com queda em Mahogany.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O que os dados mostram: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Curva ABC:</w:t>
      </w:r>
      <w:r>
        <w:rPr>
          <w:rFonts w:ascii="Segoe UI" w:cs="Segoe UI" w:eastAsia="Segoe UI" w:hAnsi="Segoe UI"/>
          <w:sz w:val="21"/>
          <w:szCs w:val="21"/>
        </w:rPr>
        <w:t xml:space="preserve"> 13 das 29 subcategorias (45%) respondem por 80% do faturamento. Só Raquetes Profissionais representam 25,6%.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Evolução:</w:t>
      </w:r>
      <w:r>
        <w:rPr>
          <w:rFonts w:ascii="Segoe UI" w:cs="Segoe UI" w:eastAsia="Segoe UI" w:hAnsi="Segoe UI"/>
          <w:sz w:val="21"/>
          <w:szCs w:val="21"/>
        </w:rPr>
        <w:t xml:space="preserve"> Raqueteiras (+79,5%), Grips Básicos (+50,3%) e Overgrips Absorventes (+50,6%) são os maiores ganhos entre as subcategorias relevantes. Raquetes Iniciantes (+154%) e Infantis (+250%) crescem muito, mas pesam menos de 1%.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Alerta:</w:t>
      </w:r>
      <w:r>
        <w:rPr>
          <w:rFonts w:ascii="Segoe UI" w:cs="Segoe UI" w:eastAsia="Segoe UI" w:hAnsi="Segoe UI"/>
          <w:sz w:val="21"/>
          <w:szCs w:val="21"/>
        </w:rPr>
        <w:t xml:space="preserve"> Raquetes Intermediárias caíram 4,9%, a única queda entre as subcategorias com peso acima de 2%.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004B46"/>
          <w:sz w:val="30"/>
          <w:szCs w:val="30"/>
        </w:rPr>
        <w:t xml:space="preserve">5. Decisões e limitações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Ano fixado em 2024:</w:t>
      </w:r>
      <w:r>
        <w:rPr>
          <w:rFonts w:ascii="Segoe UI" w:cs="Segoe UI" w:eastAsia="Segoe UI" w:hAnsi="Segoe UI"/>
          <w:sz w:val="21"/>
          <w:szCs w:val="21"/>
        </w:rPr>
        <w:t xml:space="preserve"> o seletor de Ano mostra apenas 2024. O ano de 2022 é de rampa (69 mil itens contra 163 mil em 2023 e 215 mil em 2024; janeiro de 2022 tem 22 registros). Comparar 2023 com 2022 produz variações como +5.967% e +15.333%, que enganam. O dado de 2023 continua no modelo como base de comparação.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Valores derivados:</w:t>
      </w:r>
      <w:r>
        <w:rPr>
          <w:rFonts w:ascii="Segoe UI" w:cs="Segoe UI" w:eastAsia="Segoe UI" w:hAnsi="Segoe UI"/>
          <w:sz w:val="21"/>
          <w:szCs w:val="21"/>
        </w:rPr>
        <w:t xml:space="preserve"> faturamento e margem seguem o preço e o custo padrão da subcategoria. Sem desconto, frete ou reajuste, análises de preço e de rentabilidade por cliente não são possíveis com esta base.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Nomes repetidos:</w:t>
      </w:r>
      <w:r>
        <w:rPr>
          <w:rFonts w:ascii="Segoe UI" w:cs="Segoe UI" w:eastAsia="Segoe UI" w:hAnsi="Segoe UI"/>
          <w:sz w:val="21"/>
          <w:szCs w:val="21"/>
        </w:rPr>
        <w:t xml:space="preserve"> a coluna SubcategoriaCategoria evita o cruzamento indevido entre as duas subcategorias chamadas Infantis.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Bases pequenas:</w:t>
      </w:r>
      <w:r>
        <w:rPr>
          <w:rFonts w:ascii="Segoe UI" w:cs="Segoe UI" w:eastAsia="Segoe UI" w:hAnsi="Segoe UI"/>
          <w:sz w:val="21"/>
          <w:szCs w:val="21"/>
        </w:rPr>
        <w:t xml:space="preserve"> estados com pouco volume (Tocantins, Roraima, Rondônia) mostram variações percentuais muito altas. Ler junto com o valor absoluto.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Tipografia:</w:t>
      </w:r>
      <w:r>
        <w:rPr>
          <w:rFonts w:ascii="Segoe UI" w:cs="Segoe UI" w:eastAsia="Segoe UI" w:hAnsi="Segoe UI"/>
          <w:sz w:val="21"/>
          <w:szCs w:val="21"/>
        </w:rPr>
        <w:t xml:space="preserve"> a fonte Lexend do cliente está gravada nas imagens de fundo; os textos dinâmicos usam Segoe UI. O Power BI não incorpora fontes personalizadas em relatórios publicados na web.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004B46"/>
          <w:sz w:val="30"/>
          <w:szCs w:val="30"/>
        </w:rPr>
        <w:t xml:space="preserve">6. Como abrir e reproduzir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Abrir:</w:t>
      </w:r>
      <w:r>
        <w:rPr>
          <w:rFonts w:ascii="Segoe UI" w:cs="Segoe UI" w:eastAsia="Segoe UI" w:hAnsi="Segoe UI"/>
          <w:sz w:val="21"/>
          <w:szCs w:val="21"/>
        </w:rPr>
        <w:t xml:space="preserve"> abra o arquivo Vertex_Tennis.pbip no Power BI Desktop (versão com suporte a PBIR).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Dados:</w:t>
      </w:r>
      <w:r>
        <w:rPr>
          <w:rFonts w:ascii="Segoe UI" w:cs="Segoe UI" w:eastAsia="Segoe UI" w:hAnsi="Segoe UI"/>
          <w:sz w:val="21"/>
          <w:szCs w:val="21"/>
        </w:rPr>
        <w:t xml:space="preserve"> ajuste o parâmetro caminhoDados para a pasta local que contém a planilha de dados do desafio.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Versionamento:</w:t>
      </w:r>
      <w:r>
        <w:rPr>
          <w:rFonts w:ascii="Segoe UI" w:cs="Segoe UI" w:eastAsia="Segoe UI" w:hAnsi="Segoe UI"/>
          <w:sz w:val="21"/>
          <w:szCs w:val="21"/>
        </w:rPr>
        <w:t xml:space="preserve"> cada visual é um arquivo JSON dentro de Vertex_Tennis.Report/definition/pages, o que permite comparar versões no Git.</w:t>
      </w:r>
    </w:p>
    <w:p>
      <w:pPr>
        <w:spacing w:before="120"/>
      </w:pPr>
      <w:r>
        <w:rPr>
          <w:rFonts w:ascii="Segoe UI" w:cs="Segoe UI" w:eastAsia="Segoe UI" w:hAnsi="Segoe UI"/>
          <w:sz w:val="21"/>
          <w:szCs w:val="21"/>
        </w:rPr>
        <w:t xml:space="preserve">A planilha original e os materiais de identidade visual fornecidos pelo curso não são publicados no repositório.</w:t>
      </w:r>
    </w:p>
    <w:sectPr>
      <w:footerReference w:type="default" r:id="rId7"/>
      <w:pgSz w:w="11906" w:h="16838" w:orient="portrait"/>
      <w:pgMar w:top="13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97772"/>
        <w:sz w:val="16"/>
        <w:szCs w:val="16"/>
      </w:rPr>
      <w:t xml:space="preserve">Data Mining · Valber Santana · Desafio 010 Vertex Tennis · página </w:t>
    </w:r>
    <w:r>
      <w:rPr>
        <w:rFonts w:ascii="Segoe UI" w:cs="Segoe UI" w:eastAsia="Segoe UI" w:hAnsi="Segoe UI"/>
        <w:color w:val="5977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 010 Vertex Tennis - Documentação da solução</dc:title>
  <dc:creator>Valber Santana · Data Mining</dc:creator>
  <cp:lastModifiedBy>Un-named</cp:lastModifiedBy>
  <cp:revision>1</cp:revision>
  <dcterms:created xsi:type="dcterms:W3CDTF">2026-09-26T17:50:48.087Z</dcterms:created>
  <dcterms:modified xsi:type="dcterms:W3CDTF">2026-09-26T17:50:48.087Z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