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6327" w:rsidRPr="00785BFA" w:rsidRDefault="00946327" w:rsidP="003E18DF">
      <w:pPr>
        <w:pStyle w:val="Titolo1"/>
        <w:keepNext w:val="0"/>
        <w:keepLines w:val="0"/>
        <w:widowControl w:val="0"/>
        <w:pBdr>
          <w:top w:val="single" w:sz="4" w:space="1" w:color="auto"/>
          <w:bottom w:val="single" w:sz="4" w:space="1" w:color="auto"/>
        </w:pBdr>
        <w:spacing w:before="240" w:after="240" w:line="240" w:lineRule="auto"/>
        <w:rPr>
          <w:rFonts w:cstheme="majorHAnsi"/>
        </w:rPr>
      </w:pPr>
      <w:r w:rsidRPr="00785BFA">
        <w:rPr>
          <w:rFonts w:cstheme="majorHAnsi"/>
        </w:rPr>
        <w:t>ATTO ESENTE DALL’IMPOSTA DI BOLLO AI SENSI L. 145 30/12/2018 ART. 1/646</w:t>
      </w:r>
    </w:p>
    <w:p w:rsidR="00785BFA" w:rsidRDefault="004D4AEC" w:rsidP="003E18DF">
      <w:pPr>
        <w:pStyle w:val="Titolo1"/>
        <w:keepNext w:val="0"/>
        <w:keepLines w:val="0"/>
        <w:widowControl w:val="0"/>
        <w:spacing w:before="360" w:after="360"/>
        <w:contextualSpacing/>
        <w:rPr>
          <w:rFonts w:cstheme="majorHAnsi"/>
          <w:sz w:val="36"/>
          <w:szCs w:val="36"/>
        </w:rPr>
      </w:pPr>
      <w:r w:rsidRPr="00785BFA">
        <w:rPr>
          <w:rFonts w:cstheme="majorHAnsi"/>
          <w:sz w:val="36"/>
          <w:szCs w:val="36"/>
        </w:rPr>
        <w:t xml:space="preserve">STATUTO </w:t>
      </w:r>
    </w:p>
    <w:p w:rsidR="004D4AEC" w:rsidRPr="00785BFA" w:rsidRDefault="004D4AEC" w:rsidP="003E18DF">
      <w:pPr>
        <w:pStyle w:val="Titolo1"/>
        <w:keepNext w:val="0"/>
        <w:keepLines w:val="0"/>
        <w:widowControl w:val="0"/>
        <w:spacing w:before="360" w:after="390"/>
        <w:rPr>
          <w:rFonts w:cstheme="majorHAnsi"/>
        </w:rPr>
      </w:pPr>
      <w:r w:rsidRPr="00785BFA">
        <w:rPr>
          <w:rFonts w:cstheme="majorHAnsi"/>
          <w:sz w:val="36"/>
          <w:szCs w:val="36"/>
        </w:rPr>
        <w:t>COMPAGNIA ARCIERI CASTEL VISCARDO B.A.S.</w:t>
      </w:r>
    </w:p>
    <w:p w:rsidR="004D4AEC" w:rsidRPr="00785BFA" w:rsidRDefault="004D4AEC" w:rsidP="00785BFA">
      <w:pPr>
        <w:pStyle w:val="Titolo2"/>
      </w:pPr>
      <w:r w:rsidRPr="00785BFA">
        <w:t>TITOLO I — Denominazione, Sede, Scopo</w:t>
      </w:r>
    </w:p>
    <w:p w:rsidR="004D4AEC" w:rsidRPr="00785BFA" w:rsidRDefault="004D4AEC" w:rsidP="00785BFA">
      <w:pPr>
        <w:pStyle w:val="Titolo3"/>
      </w:pPr>
      <w:r w:rsidRPr="00785BFA">
        <w:t>Art. 1 – Denominazione, Sede e Durata</w:t>
      </w:r>
    </w:p>
    <w:p w:rsidR="004D4AEC" w:rsidRPr="00785BFA" w:rsidRDefault="004D4AEC" w:rsidP="00973FF2">
      <w:pPr>
        <w:pStyle w:val="NormaleWeb"/>
        <w:widowControl w:val="0"/>
        <w:numPr>
          <w:ilvl w:val="0"/>
          <w:numId w:val="7"/>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 Base Associativa Sportiva denominata "Compagnia Arcieri Castel Viscardo B.A.S." (di seguito "Associazione"), costituita il 24 luglio 2024 ai sensi degli artt. 36 e seguenti del Codice civile, è un'associazione senza scopo di lucro, democratica e apartitica. Essa adotta il presente statuto in sostituzione di quello approvato con l'atto costitutivo. La denominazione è usata in ogni atto e comunicazione rivolta a terzi.</w:t>
      </w:r>
    </w:p>
    <w:p w:rsidR="004D4AEC" w:rsidRPr="00785BFA" w:rsidRDefault="004D4AEC" w:rsidP="00973FF2">
      <w:pPr>
        <w:pStyle w:val="NormaleWeb"/>
        <w:widowControl w:val="0"/>
        <w:numPr>
          <w:ilvl w:val="0"/>
          <w:numId w:val="7"/>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L'Associazione ha sede legale presso SS 107 Campo di tiro "Franco </w:t>
      </w:r>
      <w:proofErr w:type="spellStart"/>
      <w:r w:rsidRPr="00785BFA">
        <w:rPr>
          <w:rFonts w:asciiTheme="majorHAnsi" w:hAnsiTheme="majorHAnsi" w:cstheme="majorHAnsi"/>
          <w:color w:val="111111"/>
          <w:sz w:val="22"/>
          <w:szCs w:val="22"/>
        </w:rPr>
        <w:t>Cortignani</w:t>
      </w:r>
      <w:proofErr w:type="spellEnd"/>
      <w:r w:rsidRPr="00785BFA">
        <w:rPr>
          <w:rFonts w:asciiTheme="majorHAnsi" w:hAnsiTheme="majorHAnsi" w:cstheme="majorHAnsi"/>
          <w:color w:val="111111"/>
          <w:sz w:val="22"/>
          <w:szCs w:val="22"/>
        </w:rPr>
        <w:t>", località Macchietto, Viceno, 05014 Castel Viscardo (TR). Il trasferimento della sede all'interno dello stesso Comune è deliberato dal Consiglio Direttivo e non costituisce modifica statutaria.</w:t>
      </w:r>
    </w:p>
    <w:p w:rsidR="004D4AEC" w:rsidRPr="00785BFA" w:rsidRDefault="004D4AEC" w:rsidP="00973FF2">
      <w:pPr>
        <w:pStyle w:val="NormaleWeb"/>
        <w:widowControl w:val="0"/>
        <w:numPr>
          <w:ilvl w:val="0"/>
          <w:numId w:val="7"/>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 durata dell'Associazione è illimitata.</w:t>
      </w:r>
    </w:p>
    <w:p w:rsidR="004D4AEC" w:rsidRPr="00785BFA" w:rsidRDefault="004D4AEC" w:rsidP="00785BFA">
      <w:pPr>
        <w:pStyle w:val="Titolo3"/>
      </w:pPr>
      <w:r w:rsidRPr="00785BFA">
        <w:t>Art. 2 – Ordinamento sportivo e affiliazione</w:t>
      </w:r>
    </w:p>
    <w:p w:rsidR="004D4AEC" w:rsidRPr="00785BFA" w:rsidRDefault="004D4AEC" w:rsidP="00973FF2">
      <w:pPr>
        <w:pStyle w:val="NormaleWeb"/>
        <w:widowControl w:val="0"/>
        <w:numPr>
          <w:ilvl w:val="0"/>
          <w:numId w:val="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si conforma alle norme e alle direttive del CIO, del CONI, del CIP e agli statuti e regolamenti delle Federazioni sportive nazionali, delle Discipline sportive associate e degli Enti di promozione sportiva cui si affilia.</w:t>
      </w:r>
    </w:p>
    <w:p w:rsidR="004D4AEC" w:rsidRPr="00785BFA" w:rsidRDefault="004D4AEC" w:rsidP="00973FF2">
      <w:pPr>
        <w:pStyle w:val="NormaleWeb"/>
        <w:widowControl w:val="0"/>
        <w:numPr>
          <w:ilvl w:val="0"/>
          <w:numId w:val="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L'affiliazione è deliberata dal Consiglio Direttivo. L'Associazione si affilia al CSEN Centro Sportivo Educativo Nazionale, Ente di promozione sportiva riconosciuto dal CONI, e può affiliarsi ad altri enti dell'ordinamento sportivo.</w:t>
      </w:r>
    </w:p>
    <w:p w:rsidR="004D4AEC" w:rsidRPr="00785BFA" w:rsidRDefault="004D4AEC" w:rsidP="00973FF2">
      <w:pPr>
        <w:pStyle w:val="NormaleWeb"/>
        <w:widowControl w:val="0"/>
        <w:numPr>
          <w:ilvl w:val="0"/>
          <w:numId w:val="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e i suoi soci si impegnano a rispettare gli statuti, i regolamenti e i provvedimenti disciplinari degli organi competenti degli enti cui l'Associazione è affiliata, nonché la normativa antidoping e le disposizioni in materia di prevenzione e contrasto alla violenza di genere.</w:t>
      </w:r>
    </w:p>
    <w:p w:rsidR="004D4AEC" w:rsidRPr="00785BFA" w:rsidRDefault="004D4AEC" w:rsidP="00973FF2">
      <w:pPr>
        <w:pStyle w:val="NormaleWeb"/>
        <w:widowControl w:val="0"/>
        <w:numPr>
          <w:ilvl w:val="0"/>
          <w:numId w:val="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 partecipazione a qualsiasi attività associativa, agonistica, didattica e promozionale all'interno degli impianti e delle aree in gestione alla Compagnia è subordinata al preventivo tesseramento annuale all'Ente di Promozione Sportiva (CSEN) o alle Federazioni di riferimento, condizione essenziale per l'efficacia delle coperture assicurative RCT e infortuni.</w:t>
      </w:r>
    </w:p>
    <w:p w:rsidR="004D4AEC" w:rsidRPr="00785BFA" w:rsidRDefault="004D4AEC" w:rsidP="00973FF2">
      <w:pPr>
        <w:pStyle w:val="NormaleWeb"/>
        <w:widowControl w:val="0"/>
        <w:numPr>
          <w:ilvl w:val="0"/>
          <w:numId w:val="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L'Associazione chiede l'iscrizione nel Registro nazionale delle attività sportive dilettantistiche (RASD), operando esclusivamente quale associazione sportiva dilettantistica pura ai sensi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28 febbraio 2021, n. 36, con espressa esclusione di qualsiasi adesione o riferimento al Terzo Settore (RUNTS). Con l'iscrizione assume la denominazione "Compagnia Arcieri Castel Viscardo Associazione Sportiva Dilettantistica", in forma abbreviata "Compagnia Arcieri Castel Viscardo A.S.D.".</w:t>
      </w:r>
    </w:p>
    <w:p w:rsidR="004D4AEC" w:rsidRPr="00785BFA" w:rsidRDefault="004D4AEC" w:rsidP="00785BFA">
      <w:pPr>
        <w:pStyle w:val="Titolo3"/>
      </w:pPr>
      <w:r w:rsidRPr="00785BFA">
        <w:lastRenderedPageBreak/>
        <w:t>Art. 3 – Scopo e oggetto sociale</w:t>
      </w:r>
    </w:p>
    <w:p w:rsidR="004D4AEC" w:rsidRPr="00785BFA" w:rsidRDefault="004D4AEC" w:rsidP="00973FF2">
      <w:pPr>
        <w:pStyle w:val="NormaleWeb"/>
        <w:widowControl w:val="0"/>
        <w:numPr>
          <w:ilvl w:val="0"/>
          <w:numId w:val="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è apolitica e aconfessionale, ha struttura democratica e non discrimina in base a sesso, origine, religione, opinioni, condizioni personali e sociali.</w:t>
      </w:r>
    </w:p>
    <w:p w:rsidR="004D4AEC" w:rsidRPr="00785BFA" w:rsidRDefault="004D4AEC" w:rsidP="00973FF2">
      <w:pPr>
        <w:pStyle w:val="NormaleWeb"/>
        <w:widowControl w:val="0"/>
        <w:numPr>
          <w:ilvl w:val="0"/>
          <w:numId w:val="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ha per oggetto l'esercizio in via stabile e principale dell'organizzazione e gestione di attività sportive dilettantistiche, in particolare del tiro con l'arco in tutte le sue specialità e delle discipline collegate, comprese la formazione, la didattica, la preparazione e l'assistenza all'attività sportiva dilettantistica.</w:t>
      </w:r>
    </w:p>
    <w:p w:rsidR="004D4AEC" w:rsidRPr="00785BFA" w:rsidRDefault="004D4AEC" w:rsidP="00973FF2">
      <w:pPr>
        <w:pStyle w:val="NormaleWeb"/>
        <w:widowControl w:val="0"/>
        <w:numPr>
          <w:ilvl w:val="0"/>
          <w:numId w:val="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Per realizzare il proprio oggetto l'Associazione organizza corsi, allenamenti, gare, manifestazioni ed eventi promozionali; partecipa a competizioni; gestisce impianti e attrezzature sportive conformi e omologati secondo le direttive federali ed EPS, anche in convenzione; promuove la formazione di tecnici, istruttori e ufficiali di gara qualificati. L'attività didattica e di avviamento al tiro con l'arco all'interno degli impianti è affidata in via esclusiva a tecnici e istruttori in possesso di qualifica riconosciuta dall'ordinamento sportivo (</w:t>
      </w:r>
      <w:proofErr w:type="spellStart"/>
      <w:r w:rsidRPr="00785BFA">
        <w:rPr>
          <w:rFonts w:asciiTheme="majorHAnsi" w:hAnsiTheme="majorHAnsi" w:cstheme="majorHAnsi"/>
          <w:color w:val="111111"/>
          <w:sz w:val="22"/>
          <w:szCs w:val="22"/>
        </w:rPr>
        <w:t>SNaQ</w:t>
      </w:r>
      <w:proofErr w:type="spellEnd"/>
      <w:r w:rsidRPr="00785BFA">
        <w:rPr>
          <w:rFonts w:asciiTheme="majorHAnsi" w:hAnsiTheme="majorHAnsi" w:cstheme="majorHAnsi"/>
          <w:color w:val="111111"/>
          <w:sz w:val="22"/>
          <w:szCs w:val="22"/>
        </w:rPr>
        <w:t xml:space="preserve"> / CONI / EPS).</w:t>
      </w:r>
    </w:p>
    <w:p w:rsidR="004D4AEC" w:rsidRPr="00785BFA" w:rsidRDefault="004D4AEC" w:rsidP="00973FF2">
      <w:pPr>
        <w:pStyle w:val="NormaleWeb"/>
        <w:widowControl w:val="0"/>
        <w:numPr>
          <w:ilvl w:val="0"/>
          <w:numId w:val="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L'Associazione può esercitare attività diverse da quelle istituzionali, purché secondarie e strumentali rispetto a queste, nei limiti previsti dalla legge e dall'art. 9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36/2021. Le attività diverse comprendono la raccolta fondi, le sponsorizzazioni e la gestione di un punto di ristoro rigorosamente riservato ai soci e tesserati. L'eventuale margine economico generato dalle attività diverse è interamente reinvestito nello svolgimento dell'attività istituzionale.</w:t>
      </w:r>
    </w:p>
    <w:p w:rsidR="004D4AEC" w:rsidRPr="00785BFA" w:rsidRDefault="004D4AEC" w:rsidP="00973FF2">
      <w:pPr>
        <w:pStyle w:val="NormaleWeb"/>
        <w:widowControl w:val="0"/>
        <w:numPr>
          <w:ilvl w:val="0"/>
          <w:numId w:val="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può aderire ad altri enti e stipulare convenzioni con enti pubblici e privati per il perseguimento del proprio oggetto.</w:t>
      </w:r>
    </w:p>
    <w:p w:rsidR="004D4AEC" w:rsidRPr="00785BFA" w:rsidRDefault="004D4AEC" w:rsidP="00785BFA">
      <w:pPr>
        <w:pStyle w:val="Titolo3"/>
      </w:pPr>
      <w:r w:rsidRPr="00785BFA">
        <w:t>Art. 4 – Assenza di scopo di lucro e gratuità delle cariche</w:t>
      </w:r>
    </w:p>
    <w:p w:rsidR="004D4AEC" w:rsidRPr="00785BFA" w:rsidRDefault="004D4AEC" w:rsidP="00973FF2">
      <w:pPr>
        <w:pStyle w:val="NormaleWeb"/>
        <w:widowControl w:val="0"/>
        <w:numPr>
          <w:ilvl w:val="0"/>
          <w:numId w:val="10"/>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Gli eventuali utili e avanzi di gestione sono destinati esclusivamente allo svolgimento dell'attività statutaria o all'incremento del patrimonio.</w:t>
      </w:r>
    </w:p>
    <w:p w:rsidR="004D4AEC" w:rsidRPr="00785BFA" w:rsidRDefault="004D4AEC" w:rsidP="00973FF2">
      <w:pPr>
        <w:pStyle w:val="NormaleWeb"/>
        <w:widowControl w:val="0"/>
        <w:numPr>
          <w:ilvl w:val="0"/>
          <w:numId w:val="10"/>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È vietata la distribuzione, anche indiretta, di utili, avanzi di gestione, fondi, riserve o capitale a soci, amministratori, componenti degli organi sociali, volontari e collaboratori, anche in caso di recesso o di ogni altra ipotesi di scioglimento individuale del rapporto associativo, salvo che la destinazione o la distribuzione siano imposte dalla legge.</w:t>
      </w:r>
    </w:p>
    <w:p w:rsidR="004D4AEC" w:rsidRPr="00785BFA" w:rsidRDefault="004D4AEC" w:rsidP="00973FF2">
      <w:pPr>
        <w:pStyle w:val="NormaleWeb"/>
        <w:widowControl w:val="0"/>
        <w:numPr>
          <w:ilvl w:val="0"/>
          <w:numId w:val="10"/>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Le cariche associative e direttive sono svolte a titolo gratuito, fatto salvo il diritto al rimborso delle spese effettivamente sostenute e documentate per l'attività prestata, nei limiti stabiliti dalla legge e dal Consiglio Direttivo, nonché la corresponsione di compensi per lavoro sportivo o collaborazioni coordinate e continuative nei rigorosi limiti previsti dall'art. 9 e dall'art. 29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36/2021.</w:t>
      </w:r>
    </w:p>
    <w:p w:rsidR="004D4AEC" w:rsidRPr="00785BFA" w:rsidRDefault="004D4AEC" w:rsidP="00785BFA">
      <w:pPr>
        <w:pStyle w:val="Titolo2"/>
      </w:pPr>
      <w:r w:rsidRPr="00785BFA">
        <w:t>TITOLO II — Soci</w:t>
      </w:r>
    </w:p>
    <w:p w:rsidR="004D4AEC" w:rsidRPr="00785BFA" w:rsidRDefault="004D4AEC" w:rsidP="00785BFA">
      <w:pPr>
        <w:pStyle w:val="Titolo3"/>
      </w:pPr>
      <w:r w:rsidRPr="00785BFA">
        <w:t>Art. 5 – Soci, categorie e rappresentanza dei minorenni</w:t>
      </w:r>
    </w:p>
    <w:p w:rsidR="004D4AEC" w:rsidRPr="00785BFA" w:rsidRDefault="004D4AEC" w:rsidP="00973FF2">
      <w:pPr>
        <w:pStyle w:val="NormaleWeb"/>
        <w:widowControl w:val="0"/>
        <w:numPr>
          <w:ilvl w:val="0"/>
          <w:numId w:val="11"/>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I soci si distinguono in Fondatori, Ordinari e Giovani. È espressamente esclusa qualsiasi forma di partecipazione temporanea alla vita associativa; la quota e il rapporto associativo sono intrasmissibili e non rivalutabili.</w:t>
      </w:r>
    </w:p>
    <w:p w:rsidR="004D4AEC" w:rsidRPr="00785BFA" w:rsidRDefault="004D4AEC" w:rsidP="00973FF2">
      <w:pPr>
        <w:pStyle w:val="NormaleWeb"/>
        <w:widowControl w:val="0"/>
        <w:numPr>
          <w:ilvl w:val="0"/>
          <w:numId w:val="11"/>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Tutti i soci maggiorenni in regola con il tesseramento sociale e federale godono dei medesimi diritti e </w:t>
      </w:r>
      <w:r w:rsidRPr="00785BFA">
        <w:rPr>
          <w:rFonts w:asciiTheme="majorHAnsi" w:hAnsiTheme="majorHAnsi" w:cstheme="majorHAnsi"/>
          <w:color w:val="111111"/>
          <w:sz w:val="22"/>
          <w:szCs w:val="22"/>
        </w:rPr>
        <w:lastRenderedPageBreak/>
        <w:t>doveri, inclusi l'elettorato attivo e passivo. I soci minorenni partecipano alle attività secondo le norme federali; fino al compimento della maggiore età l'esercizio dei diritti patrimoniali, associativi e di voto fa capo disgiuntamente agli esercenti la responsabilità genitoriale che hanno sottoscritto la domanda di ammissione (spettando un solo voto per ciascun minore rappresentato ai fini dei quorum assembleari). Al compimento del 18° anno, i soci acquisiscono automaticamente il diritto di voto attivo e passivo senza necessità di nuova domanda o delibera.</w:t>
      </w:r>
    </w:p>
    <w:p w:rsidR="004D4AEC" w:rsidRPr="00785BFA" w:rsidRDefault="004D4AEC" w:rsidP="00785BFA">
      <w:pPr>
        <w:pStyle w:val="Titolo3"/>
      </w:pPr>
      <w:r w:rsidRPr="00785BFA">
        <w:t>Art. 6 – Ammissione dei soci</w:t>
      </w:r>
    </w:p>
    <w:p w:rsidR="004D4AEC" w:rsidRPr="00785BFA" w:rsidRDefault="004D4AEC" w:rsidP="00973FF2">
      <w:pPr>
        <w:pStyle w:val="NormaleWeb"/>
        <w:widowControl w:val="0"/>
        <w:numPr>
          <w:ilvl w:val="0"/>
          <w:numId w:val="12"/>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L'ammissione a socio è subordinata alla presentazione di domanda scritta e sottoscritta dall'interessato (o dall'esercente la responsabilità genitoriale se minorenne), con l'impegno ad attenersi allo Statuto, al Regolamento Interno e alle disposizioni federali.</w:t>
      </w:r>
    </w:p>
    <w:p w:rsidR="004D4AEC" w:rsidRPr="00785BFA" w:rsidRDefault="004D4AEC" w:rsidP="00973FF2">
      <w:pPr>
        <w:pStyle w:val="NormaleWeb"/>
        <w:widowControl w:val="0"/>
        <w:numPr>
          <w:ilvl w:val="0"/>
          <w:numId w:val="12"/>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L'ammissione è deliberata dal Consiglio Direttivo. L'eventuale rigetto della domanda deve essere motivato per iscritto e comunicato all'interessato, il quale ha diritto di presentare ricorso alla prima Assemblea generale utile.</w:t>
      </w:r>
    </w:p>
    <w:p w:rsidR="004D4AEC" w:rsidRPr="00785BFA" w:rsidRDefault="004D4AEC" w:rsidP="00785BFA">
      <w:pPr>
        <w:pStyle w:val="Titolo3"/>
      </w:pPr>
      <w:r w:rsidRPr="00785BFA">
        <w:t>Art. 7 – Diritti e doveri dei soci</w:t>
      </w:r>
    </w:p>
    <w:p w:rsidR="004D4AEC" w:rsidRPr="00785BFA" w:rsidRDefault="004D4AEC" w:rsidP="00973FF2">
      <w:pPr>
        <w:pStyle w:val="NormaleWeb"/>
        <w:widowControl w:val="0"/>
        <w:numPr>
          <w:ilvl w:val="0"/>
          <w:numId w:val="13"/>
        </w:numPr>
        <w:spacing w:before="0" w:beforeAutospacing="0" w:after="4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Tutti i soci hanno diritto di frequentare la sede e gli impianti sociali, di partecipare alle attività e alle assemblee, di votare direttamente (se maggiorenni) e di beneficiare dei servizi promossi dall'Associazione.</w:t>
      </w:r>
    </w:p>
    <w:p w:rsidR="004D4AEC" w:rsidRPr="00785BFA" w:rsidRDefault="004D4AEC" w:rsidP="00973FF2">
      <w:pPr>
        <w:pStyle w:val="NormaleWeb"/>
        <w:widowControl w:val="0"/>
        <w:numPr>
          <w:ilvl w:val="0"/>
          <w:numId w:val="13"/>
        </w:numPr>
        <w:spacing w:before="0" w:beforeAutospacing="0" w:after="4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 soci sono tenuti all'osservanza dello Statuto, del Regolamento Interno, delle decisioni degli organi sociali e delle norme federali, nonché al versamento puntuale della quota associativa annuale.</w:t>
      </w:r>
    </w:p>
    <w:p w:rsidR="004D4AEC" w:rsidRPr="00785BFA" w:rsidRDefault="004D4AEC" w:rsidP="00785BFA">
      <w:pPr>
        <w:pStyle w:val="Titolo3"/>
      </w:pPr>
      <w:r w:rsidRPr="00785BFA">
        <w:t>Art. 8 – Perdita della qualifica di socio</w:t>
      </w:r>
    </w:p>
    <w:p w:rsidR="004D4AEC" w:rsidRPr="00785BFA" w:rsidRDefault="004D4AEC" w:rsidP="00973FF2">
      <w:pPr>
        <w:pStyle w:val="NormaleWeb"/>
        <w:widowControl w:val="0"/>
        <w:numPr>
          <w:ilvl w:val="0"/>
          <w:numId w:val="14"/>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 qualifica di socio si perde per recesso volontario, per decadenza dovuta alla mancata corresponsione della quota associativa o per esclusione deliberata dal Consiglio Direttivo in caso di gravi inadempienze, comportamenti contrari allo spirito associativo o violazioni delle norme di sicurezza.</w:t>
      </w:r>
    </w:p>
    <w:p w:rsidR="004D4AEC" w:rsidRPr="00785BFA" w:rsidRDefault="004D4AEC" w:rsidP="00973FF2">
      <w:pPr>
        <w:pStyle w:val="NormaleWeb"/>
        <w:widowControl w:val="0"/>
        <w:numPr>
          <w:ilvl w:val="0"/>
          <w:numId w:val="14"/>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Il recesso deve essere comunicato per iscritto al Consiglio Direttivo ed ha effetto immediato, fermo restando l'obbligo di pagamento delle quote dovute per l'anno in corso.</w:t>
      </w:r>
    </w:p>
    <w:p w:rsidR="004D4AEC" w:rsidRPr="00785BFA" w:rsidRDefault="004D4AEC" w:rsidP="00785BFA">
      <w:pPr>
        <w:pStyle w:val="Titolo3"/>
      </w:pPr>
      <w:r w:rsidRPr="00785BFA">
        <w:t>Art. 9 – Provvedimenti disciplinari</w:t>
      </w:r>
    </w:p>
    <w:p w:rsidR="004D4AEC" w:rsidRPr="00785BFA" w:rsidRDefault="004D4AEC" w:rsidP="00973FF2">
      <w:pPr>
        <w:pStyle w:val="NormaleWeb"/>
        <w:widowControl w:val="0"/>
        <w:numPr>
          <w:ilvl w:val="0"/>
          <w:numId w:val="15"/>
        </w:numPr>
        <w:spacing w:before="0" w:beforeAutospacing="0" w:after="12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I soci che violino le norme statutarie, i regolamenti interni o le disposizioni sulla sicurezza attiva sul campo di tiro sono passibili di sanzioni disciplinari (ammonizione, sospensione temporanea o espulsione), deliberate dal Consiglio Direttivo nel rispetto del diritto di difesa e del contraddittorio.</w:t>
      </w:r>
    </w:p>
    <w:p w:rsidR="004D4AEC" w:rsidRPr="00785BFA" w:rsidRDefault="004D4AEC" w:rsidP="00785BFA">
      <w:pPr>
        <w:pStyle w:val="Titolo2"/>
      </w:pPr>
      <w:r w:rsidRPr="00785BFA">
        <w:t>TITOLO III — Organi Sociali e Assemblea</w:t>
      </w:r>
    </w:p>
    <w:p w:rsidR="004D4AEC" w:rsidRPr="00785BFA" w:rsidRDefault="004D4AEC" w:rsidP="00785BFA">
      <w:pPr>
        <w:pStyle w:val="Titolo3"/>
      </w:pPr>
      <w:r w:rsidRPr="00785BFA">
        <w:t>Art. 10 – Assemblea: convocazione e svolgimento</w:t>
      </w:r>
    </w:p>
    <w:p w:rsidR="004D4AEC" w:rsidRPr="00785BFA" w:rsidRDefault="004D4AEC" w:rsidP="00973FF2">
      <w:pPr>
        <w:pStyle w:val="NormaleWeb"/>
        <w:widowControl w:val="0"/>
        <w:numPr>
          <w:ilvl w:val="0"/>
          <w:numId w:val="16"/>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L'Assemblea è l'organo sovrano dell'Associazione. Può tenersi in presenza, in via telematica o in modalità mista, purché i sistemi adottati consentano l'identificazione certa dei partecipanti, la partecipazione attiva in tempo reale e la regolarità delle votazioni.</w:t>
      </w:r>
    </w:p>
    <w:p w:rsidR="004D4AEC" w:rsidRPr="00785BFA" w:rsidRDefault="004D4AEC" w:rsidP="00A02B4C">
      <w:pPr>
        <w:pStyle w:val="Titolo3"/>
        <w:keepNext/>
        <w:keepLines/>
        <w:widowControl/>
      </w:pPr>
      <w:r w:rsidRPr="00785BFA">
        <w:lastRenderedPageBreak/>
        <w:t>Art. 11 – Convocazione dell'Assemblea</w:t>
      </w:r>
    </w:p>
    <w:p w:rsidR="004D4AEC" w:rsidRPr="00785BFA" w:rsidRDefault="004D4AEC" w:rsidP="00973FF2">
      <w:pPr>
        <w:pStyle w:val="NormaleWeb"/>
        <w:keepNext/>
        <w:keepLines/>
        <w:numPr>
          <w:ilvl w:val="0"/>
          <w:numId w:val="17"/>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L'Assemblea ordinaria è convocat</w:t>
      </w:r>
      <w:r w:rsidR="00A02B4C">
        <w:rPr>
          <w:rFonts w:asciiTheme="majorHAnsi" w:hAnsiTheme="majorHAnsi" w:cstheme="majorHAnsi"/>
          <w:color w:val="111111"/>
          <w:sz w:val="22"/>
          <w:szCs w:val="22"/>
        </w:rPr>
        <w:t>a</w:t>
      </w:r>
      <w:r w:rsidRPr="00785BFA">
        <w:rPr>
          <w:rFonts w:asciiTheme="majorHAnsi" w:hAnsiTheme="majorHAnsi" w:cstheme="majorHAnsi"/>
          <w:color w:val="111111"/>
          <w:sz w:val="22"/>
          <w:szCs w:val="22"/>
        </w:rPr>
        <w:t xml:space="preserve"> dal Presidente almeno una volta all'anno per l'approvazione del rendiconto economico-finanziario. L'Assemblea straordinaria è convocata ogni qualvolta se ne ravvisi la necessità o su richiesta motivata di almeno un decimo dei soci.</w:t>
      </w:r>
    </w:p>
    <w:p w:rsidR="004D4AEC" w:rsidRPr="00785BFA" w:rsidRDefault="004D4AEC" w:rsidP="00785BFA">
      <w:pPr>
        <w:pStyle w:val="Titolo3"/>
      </w:pPr>
      <w:r w:rsidRPr="00785BFA">
        <w:t>Art. 12 – Intervento e rappresentanza</w:t>
      </w:r>
    </w:p>
    <w:p w:rsidR="004D4AEC" w:rsidRPr="00785BFA" w:rsidRDefault="004D4AEC" w:rsidP="00973FF2">
      <w:pPr>
        <w:pStyle w:val="NormaleWeb"/>
        <w:widowControl w:val="0"/>
        <w:numPr>
          <w:ilvl w:val="0"/>
          <w:numId w:val="18"/>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Hanno diritto di intervenire all'Assemblea tutti i soci maggiorenni in regola con il tesseramento. Ogni socio può farsi rappresentare da un altro socio mediante delega scritta; ciascun delegato non può rappresentare più di tre soci.</w:t>
      </w:r>
    </w:p>
    <w:p w:rsidR="004D4AEC" w:rsidRPr="00785BFA" w:rsidRDefault="004D4AEC" w:rsidP="00785BFA">
      <w:pPr>
        <w:pStyle w:val="Titolo3"/>
      </w:pPr>
      <w:r w:rsidRPr="00785BFA">
        <w:t>Art. 13 – Quorum e Maggioranze assembleari</w:t>
      </w:r>
    </w:p>
    <w:p w:rsidR="004D4AEC" w:rsidRPr="00785BFA" w:rsidRDefault="004D4AEC" w:rsidP="00973FF2">
      <w:pPr>
        <w:pStyle w:val="NormaleWeb"/>
        <w:widowControl w:val="0"/>
        <w:numPr>
          <w:ilvl w:val="0"/>
          <w:numId w:val="1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L'Assemblea ordinaria delibera sul rendiconto, sull'attività e sul rinnovo delle cariche sociali a maggioranza dei voti espressi dai presenti (favorevoli e contrari), con esclusione degli astenuti dal computo della maggioranza deliberativa, pur concorrendo questi ultimi al quorum costitutivo.</w:t>
      </w:r>
    </w:p>
    <w:p w:rsidR="004D4AEC" w:rsidRPr="00785BFA" w:rsidRDefault="004D4AEC" w:rsidP="00973FF2">
      <w:pPr>
        <w:pStyle w:val="NormaleWeb"/>
        <w:widowControl w:val="0"/>
        <w:numPr>
          <w:ilvl w:val="0"/>
          <w:numId w:val="1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L'Assemblea straordinaria delibera sulle modifiche statutarie con la maggioranza dei due terzi dei presenti (l'astenuto conta come non favorevole).</w:t>
      </w:r>
    </w:p>
    <w:p w:rsidR="004D4AEC" w:rsidRPr="00785BFA" w:rsidRDefault="004D4AEC" w:rsidP="00973FF2">
      <w:pPr>
        <w:pStyle w:val="NormaleWeb"/>
        <w:widowControl w:val="0"/>
        <w:numPr>
          <w:ilvl w:val="0"/>
          <w:numId w:val="1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La trasformazione, fusione, scissione e lo scioglimento richiedono la maggioranza qualificata dei tre quarti dei soci con diritto di voto (l'astenuto conta come non favorevole). Le maggioranze qualificate di cui ai commi 2 e 3 si applicano inderogabilmente indipendentemente dal fatto che si tratti di prima o di seconda convocazione.</w:t>
      </w:r>
    </w:p>
    <w:p w:rsidR="004D4AEC" w:rsidRPr="00785BFA" w:rsidRDefault="004D4AEC" w:rsidP="00973FF2">
      <w:pPr>
        <w:pStyle w:val="NormaleWeb"/>
        <w:widowControl w:val="0"/>
        <w:numPr>
          <w:ilvl w:val="0"/>
          <w:numId w:val="19"/>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Le elezioni delle cariche sociali avvengono a scrutinio segreto tra i più votati; le schede bianche e nulle sono conteggiate unicamente ai fini della regolarità dello spoglio.</w:t>
      </w:r>
    </w:p>
    <w:p w:rsidR="004D4AEC" w:rsidRPr="00785BFA" w:rsidRDefault="004D4AEC" w:rsidP="00785BFA">
      <w:pPr>
        <w:pStyle w:val="Titolo3"/>
      </w:pPr>
      <w:r w:rsidRPr="00785BFA">
        <w:t>Art. 14 – Consiglio Direttivo</w:t>
      </w:r>
    </w:p>
    <w:p w:rsidR="004D4AEC" w:rsidRPr="00785BFA" w:rsidRDefault="004D4AEC" w:rsidP="00973FF2">
      <w:pPr>
        <w:pStyle w:val="NormaleWeb"/>
        <w:widowControl w:val="0"/>
        <w:numPr>
          <w:ilvl w:val="0"/>
          <w:numId w:val="20"/>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Il Consiglio Direttivo è composto da 3 a </w:t>
      </w:r>
      <w:r w:rsidR="00BF479C">
        <w:rPr>
          <w:rFonts w:asciiTheme="majorHAnsi" w:hAnsiTheme="majorHAnsi" w:cstheme="majorHAnsi"/>
          <w:color w:val="111111"/>
          <w:sz w:val="22"/>
          <w:szCs w:val="22"/>
        </w:rPr>
        <w:t>7</w:t>
      </w:r>
      <w:bookmarkStart w:id="0" w:name="_GoBack"/>
      <w:bookmarkEnd w:id="0"/>
      <w:r w:rsidRPr="00785BFA">
        <w:rPr>
          <w:rFonts w:asciiTheme="majorHAnsi" w:hAnsiTheme="majorHAnsi" w:cstheme="majorHAnsi"/>
          <w:color w:val="111111"/>
          <w:sz w:val="22"/>
          <w:szCs w:val="22"/>
        </w:rPr>
        <w:t xml:space="preserve"> membri eletti dall'Assemblea tra i soci maggiorenni, dura in carica quattro anni ed è validamente costituito con la presenza della maggioranza dei componenti.</w:t>
      </w:r>
    </w:p>
    <w:p w:rsidR="004D4AEC" w:rsidRPr="00785BFA" w:rsidRDefault="004D4AEC" w:rsidP="00973FF2">
      <w:pPr>
        <w:pStyle w:val="NormaleWeb"/>
        <w:widowControl w:val="0"/>
        <w:numPr>
          <w:ilvl w:val="0"/>
          <w:numId w:val="20"/>
        </w:numPr>
        <w:spacing w:before="0" w:beforeAutospacing="0" w:after="40" w:afterAutospacing="0"/>
        <w:ind w:left="714" w:hanging="357"/>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Qualsiasi variazione nella composizione del Consiglio Direttivo, del Presidente o dei dati statutari deve essere tempestivamente comunicata (e comunque entro i termini perentori di 30 giorni) agli enti di affiliazione e registrata sul portale telematico RASD ai sensi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36/2021.</w:t>
      </w:r>
    </w:p>
    <w:p w:rsidR="004D4AEC" w:rsidRPr="00785BFA" w:rsidRDefault="004D4AEC" w:rsidP="00785BFA">
      <w:pPr>
        <w:pStyle w:val="Titolo3"/>
      </w:pPr>
      <w:r w:rsidRPr="00785BFA">
        <w:t>Art. 15 – Riunioni e Delibere del Consiglio Direttivo</w:t>
      </w:r>
    </w:p>
    <w:p w:rsidR="004D4AEC" w:rsidRPr="00785BFA" w:rsidRDefault="004D4AEC" w:rsidP="00973FF2">
      <w:pPr>
        <w:pStyle w:val="NormaleWeb"/>
        <w:widowControl w:val="0"/>
        <w:numPr>
          <w:ilvl w:val="0"/>
          <w:numId w:val="21"/>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Consiglio Direttivo si riunisce su convocazione del Presidente o su richiesta di almeno la metà dei suoi membri. Le delibere sono assunte a maggioranza dei presenti.</w:t>
      </w:r>
    </w:p>
    <w:p w:rsidR="004D4AEC" w:rsidRPr="00785BFA" w:rsidRDefault="004D4AEC" w:rsidP="00973FF2">
      <w:pPr>
        <w:pStyle w:val="NormaleWeb"/>
        <w:widowControl w:val="0"/>
        <w:numPr>
          <w:ilvl w:val="0"/>
          <w:numId w:val="21"/>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Consiglio Direttivo può deliberare anche mediante consultazione telematica asincrona, garantendo la tracciabilità dei voti e la verbalizzazione tempestiva nel libro dei verbali con marcatura temporale certa.</w:t>
      </w:r>
    </w:p>
    <w:p w:rsidR="004D4AEC" w:rsidRPr="00785BFA" w:rsidRDefault="004D4AEC" w:rsidP="00785BFA">
      <w:pPr>
        <w:pStyle w:val="Titolo3"/>
      </w:pPr>
      <w:r w:rsidRPr="00785BFA">
        <w:t>Art. 16 – Esclusione dei soci da parte del Consiglio</w:t>
      </w:r>
    </w:p>
    <w:p w:rsidR="004D4AEC" w:rsidRPr="00785BFA" w:rsidRDefault="004D4AEC" w:rsidP="00973FF2">
      <w:pPr>
        <w:pStyle w:val="NormaleWeb"/>
        <w:widowControl w:val="0"/>
        <w:numPr>
          <w:ilvl w:val="0"/>
          <w:numId w:val="22"/>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Per la delibera di esclusione di un socio è richiesta la maggioranza assoluta dei componenti in carica del Consiglio Direttivo; l'astenuto è equiparato al voto contrario.</w:t>
      </w:r>
    </w:p>
    <w:p w:rsidR="004D4AEC" w:rsidRPr="00785BFA" w:rsidRDefault="004D4AEC" w:rsidP="00785BFA">
      <w:pPr>
        <w:pStyle w:val="Titolo3"/>
      </w:pPr>
      <w:r w:rsidRPr="00785BFA">
        <w:t>Art. 17 – Presidente</w:t>
      </w:r>
    </w:p>
    <w:p w:rsidR="004D4AEC" w:rsidRPr="00785BFA" w:rsidRDefault="004D4AEC" w:rsidP="00973FF2">
      <w:pPr>
        <w:pStyle w:val="NormaleWeb"/>
        <w:widowControl w:val="0"/>
        <w:numPr>
          <w:ilvl w:val="0"/>
          <w:numId w:val="23"/>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Presidente ha la rappresentanza legale dell'Associazione di fronte a terzi e in giudizio, convoca e presiede l'Assemblea e il Consiglio Direttivo e cura l'esecuzione delle delibere.</w:t>
      </w:r>
    </w:p>
    <w:p w:rsidR="004D4AEC" w:rsidRPr="00785BFA" w:rsidRDefault="004D4AEC" w:rsidP="00785BFA">
      <w:pPr>
        <w:pStyle w:val="Titolo3"/>
      </w:pPr>
      <w:r w:rsidRPr="00785BFA">
        <w:lastRenderedPageBreak/>
        <w:t>Art. 18 – Segretario e Tesoriere</w:t>
      </w:r>
    </w:p>
    <w:p w:rsidR="004D4AEC" w:rsidRPr="00785BFA" w:rsidRDefault="004D4AEC" w:rsidP="00973FF2">
      <w:pPr>
        <w:pStyle w:val="NormaleWeb"/>
        <w:widowControl w:val="0"/>
        <w:numPr>
          <w:ilvl w:val="0"/>
          <w:numId w:val="24"/>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Segretario cura la redazione dei verbali, la tenuta dei libri sociali e il corrispettivo delle comunicazioni associative, secondo le modalità operative dettagliate nel Regolamento Interno.</w:t>
      </w:r>
    </w:p>
    <w:p w:rsidR="004D4AEC" w:rsidRPr="00785BFA" w:rsidRDefault="004D4AEC" w:rsidP="00973FF2">
      <w:pPr>
        <w:pStyle w:val="NormaleWeb"/>
        <w:widowControl w:val="0"/>
        <w:numPr>
          <w:ilvl w:val="0"/>
          <w:numId w:val="24"/>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Tesoriere sovrintende alla gestione contabile, alla redazione del rendiconto e alla tenuta delle scritture di prima nota, garantendo la tracciabilità dei pagamenti e la separazione dei conti.</w:t>
      </w:r>
    </w:p>
    <w:p w:rsidR="004D4AEC" w:rsidRPr="00785BFA" w:rsidRDefault="004D4AEC" w:rsidP="00785BFA">
      <w:pPr>
        <w:pStyle w:val="Titolo3"/>
      </w:pPr>
      <w:r w:rsidRPr="00785BFA">
        <w:t>Art. 19 – Organo di Controllo e Revisione (eventuale)</w:t>
      </w:r>
    </w:p>
    <w:p w:rsidR="004D4AEC" w:rsidRPr="00785BFA" w:rsidRDefault="004D4AEC" w:rsidP="00973FF2">
      <w:pPr>
        <w:pStyle w:val="NormaleWeb"/>
        <w:widowControl w:val="0"/>
        <w:numPr>
          <w:ilvl w:val="0"/>
          <w:numId w:val="25"/>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può nominare, qualora obbligatorio per legge o per delibera assembleare, un Revisore dei Conti o un Organo di Controllo incaricato della verifica della gestione contabile e finanziaria.</w:t>
      </w:r>
    </w:p>
    <w:p w:rsidR="004D4AEC" w:rsidRPr="00785BFA" w:rsidRDefault="004D4AEC" w:rsidP="00785BFA">
      <w:pPr>
        <w:pStyle w:val="Titolo2"/>
      </w:pPr>
      <w:r w:rsidRPr="00785BFA">
        <w:t>TITOLO IV — Patrimonio, Rendiconto e Libri Sociali</w:t>
      </w:r>
    </w:p>
    <w:p w:rsidR="004D4AEC" w:rsidRPr="00785BFA" w:rsidRDefault="004D4AEC" w:rsidP="00785BFA">
      <w:pPr>
        <w:pStyle w:val="Titolo3"/>
      </w:pPr>
      <w:r w:rsidRPr="00785BFA">
        <w:t>Art. 20 – Patrimonio sociale</w:t>
      </w:r>
    </w:p>
    <w:p w:rsidR="004D4AEC" w:rsidRPr="00785BFA" w:rsidRDefault="004D4AEC" w:rsidP="00973FF2">
      <w:pPr>
        <w:pStyle w:val="NormaleWeb"/>
        <w:widowControl w:val="0"/>
        <w:numPr>
          <w:ilvl w:val="0"/>
          <w:numId w:val="26"/>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patrimonio è costituito da beni mobili e immobili, contributi, liberalità, sponsorizzazioni e proventi derivanti dalle attività istituzionali e diverse.</w:t>
      </w:r>
    </w:p>
    <w:p w:rsidR="004D4AEC" w:rsidRPr="00785BFA" w:rsidRDefault="004D4AEC" w:rsidP="00785BFA">
      <w:pPr>
        <w:pStyle w:val="Titolo3"/>
      </w:pPr>
      <w:r w:rsidRPr="00785BFA">
        <w:t>Art. 21 – Tracciabilità finanziaria</w:t>
      </w:r>
    </w:p>
    <w:p w:rsidR="004D4AEC" w:rsidRPr="00785BFA" w:rsidRDefault="004D4AEC" w:rsidP="00973FF2">
      <w:pPr>
        <w:pStyle w:val="NormaleWeb"/>
        <w:widowControl w:val="0"/>
        <w:numPr>
          <w:ilvl w:val="0"/>
          <w:numId w:val="27"/>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Tutti i pagamenti afferenti a quote associative, corrispettivi specifici e liberalità devono essere eseguiti mediante strumenti di pagamento tracciabili (bonifici, carte di pagamento, assegni).</w:t>
      </w:r>
    </w:p>
    <w:p w:rsidR="004D4AEC" w:rsidRPr="00785BFA" w:rsidRDefault="004D4AEC" w:rsidP="00785BFA">
      <w:pPr>
        <w:pStyle w:val="Titolo3"/>
      </w:pPr>
      <w:r w:rsidRPr="00785BFA">
        <w:t>Art. 22 – Rendiconto economico-finanziario</w:t>
      </w:r>
    </w:p>
    <w:p w:rsidR="004D4AEC" w:rsidRPr="00785BFA" w:rsidRDefault="004D4AEC" w:rsidP="00973FF2">
      <w:pPr>
        <w:pStyle w:val="NormaleWeb"/>
        <w:widowControl w:val="0"/>
        <w:numPr>
          <w:ilvl w:val="0"/>
          <w:numId w:val="28"/>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Consiglio Direttivo redige il rendiconto economico-finanziario annuale adottando un piano dei conti che distingue nettamente le entrate istituzionali da quelle commerciali e diverse.</w:t>
      </w:r>
    </w:p>
    <w:p w:rsidR="004D4AEC" w:rsidRPr="00785BFA" w:rsidRDefault="004D4AEC" w:rsidP="00785BFA">
      <w:pPr>
        <w:pStyle w:val="Titolo3"/>
      </w:pPr>
      <w:r w:rsidRPr="00785BFA">
        <w:t>Art. 23 – Libri Sociali Informatici</w:t>
      </w:r>
    </w:p>
    <w:p w:rsidR="004D4AEC" w:rsidRPr="00785BFA" w:rsidRDefault="004D4AEC" w:rsidP="00973FF2">
      <w:pPr>
        <w:pStyle w:val="NormaleWeb"/>
        <w:widowControl w:val="0"/>
        <w:numPr>
          <w:ilvl w:val="0"/>
          <w:numId w:val="29"/>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 libri sociali e le scritture contabili possono essere tenuti in formato elettronico o informatico, mediante sistemi che garantiscano l'integrità dei dati, la loro immodificabilità, la tracciabilità temporale e la conformità al GDPR.</w:t>
      </w:r>
    </w:p>
    <w:p w:rsidR="004D4AEC" w:rsidRPr="00785BFA" w:rsidRDefault="004D4AEC" w:rsidP="00785BFA">
      <w:pPr>
        <w:pStyle w:val="Titolo2"/>
      </w:pPr>
      <w:r w:rsidRPr="00785BFA">
        <w:t>TITOLO V — Norme Finali e Riferimenti</w:t>
      </w:r>
    </w:p>
    <w:p w:rsidR="004D4AEC" w:rsidRPr="00785BFA" w:rsidRDefault="004D4AEC" w:rsidP="00785BFA">
      <w:pPr>
        <w:pStyle w:val="Titolo3"/>
      </w:pPr>
      <w:r w:rsidRPr="00785BFA">
        <w:t>Art. 24 – Regolamento Interno e Partecipazione</w:t>
      </w:r>
    </w:p>
    <w:p w:rsidR="004D4AEC" w:rsidRPr="00785BFA" w:rsidRDefault="004D4AEC" w:rsidP="00973FF2">
      <w:pPr>
        <w:pStyle w:val="NormaleWeb"/>
        <w:widowControl w:val="0"/>
        <w:numPr>
          <w:ilvl w:val="0"/>
          <w:numId w:val="30"/>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Il Regolamento Interno disciplina gli aspetti operativi, tecnici, di sicurezza del campo di tiro, di omologazione degli impianti e di dettaglio amministrativo, senza poter derogare ai principi inderogabili dello Statuto. Esso è parte integrante e sostanziale dello Statuto e vincola tutti i tesserati con la medesima forza precettiva sin dal momento dell'ammissione.</w:t>
      </w:r>
    </w:p>
    <w:p w:rsidR="004D4AEC" w:rsidRPr="00785BFA" w:rsidRDefault="004D4AEC" w:rsidP="00785BFA">
      <w:pPr>
        <w:pStyle w:val="Titolo3"/>
      </w:pPr>
      <w:r w:rsidRPr="00785BFA">
        <w:t>Art. 25 – Comunicazioni ai soci</w:t>
      </w:r>
    </w:p>
    <w:p w:rsidR="004D4AEC" w:rsidRPr="00785BFA" w:rsidRDefault="004D4AEC" w:rsidP="00973FF2">
      <w:pPr>
        <w:pStyle w:val="NormaleWeb"/>
        <w:widowControl w:val="0"/>
        <w:numPr>
          <w:ilvl w:val="0"/>
          <w:numId w:val="31"/>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Le comunicazioni ufficiali e le convocazioni assembleari sono effettuate mediante posta elettronica all'indirizzo comunicato dal socio (domicilio informatico).</w:t>
      </w:r>
    </w:p>
    <w:p w:rsidR="004D4AEC" w:rsidRPr="00785BFA" w:rsidRDefault="004D4AEC" w:rsidP="00A02B4C">
      <w:pPr>
        <w:pStyle w:val="Titolo3"/>
        <w:keepNext/>
        <w:keepLines/>
        <w:widowControl/>
      </w:pPr>
      <w:r w:rsidRPr="00785BFA">
        <w:lastRenderedPageBreak/>
        <w:t>Art. 26 – Trattamento dei dati personali</w:t>
      </w:r>
    </w:p>
    <w:p w:rsidR="004D4AEC" w:rsidRPr="00785BFA" w:rsidRDefault="004D4AEC" w:rsidP="00973FF2">
      <w:pPr>
        <w:pStyle w:val="NormaleWeb"/>
        <w:keepNext/>
        <w:keepLines/>
        <w:numPr>
          <w:ilvl w:val="0"/>
          <w:numId w:val="32"/>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L'Associazione tratta i dati personali dei soci nel pieno rispetto del Regolamento UE 2016/679 (GDPR) e della normativa nazionale vigente.</w:t>
      </w:r>
    </w:p>
    <w:p w:rsidR="004D4AEC" w:rsidRPr="00785BFA" w:rsidRDefault="004D4AEC" w:rsidP="00785BFA">
      <w:pPr>
        <w:pStyle w:val="Titolo3"/>
      </w:pPr>
      <w:r w:rsidRPr="00785BFA">
        <w:t xml:space="preserve">Art. 27 – Tutela dei minori e </w:t>
      </w:r>
      <w:proofErr w:type="spellStart"/>
      <w:r w:rsidRPr="00785BFA">
        <w:t>safeguarding</w:t>
      </w:r>
      <w:proofErr w:type="spellEnd"/>
    </w:p>
    <w:p w:rsidR="004D4AEC" w:rsidRPr="00785BFA" w:rsidRDefault="004D4AEC" w:rsidP="00973FF2">
      <w:pPr>
        <w:pStyle w:val="NormaleWeb"/>
        <w:widowControl w:val="0"/>
        <w:numPr>
          <w:ilvl w:val="0"/>
          <w:numId w:val="33"/>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L'Associazione adotta i modelli organizzativi e di controllo e il codice di condotta previsti dall'art. 16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39/2021, nominando un apposito Responsabile per la protezione dei tesserati.</w:t>
      </w:r>
    </w:p>
    <w:p w:rsidR="004D4AEC" w:rsidRPr="00785BFA" w:rsidRDefault="004D4AEC" w:rsidP="00785BFA">
      <w:pPr>
        <w:pStyle w:val="Titolo3"/>
      </w:pPr>
      <w:r w:rsidRPr="00785BFA">
        <w:t>Art. 28 – Scioglimento e Devoluzione del Patrimonio</w:t>
      </w:r>
    </w:p>
    <w:p w:rsidR="004D4AEC" w:rsidRPr="00785BFA" w:rsidRDefault="004D4AEC" w:rsidP="00973FF2">
      <w:pPr>
        <w:pStyle w:val="NormaleWeb"/>
        <w:widowControl w:val="0"/>
        <w:numPr>
          <w:ilvl w:val="0"/>
          <w:numId w:val="34"/>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Lo scioglimento è deliberato dall'Assemblea straordinaria con la maggioranza qualificata dei tre quarti dei soci aventi diritto. Il patrimonio residuo sarà devoluto obbligatoriamente ad altra associazione sportiva dilettantistica con finalità analoghe o a fini di pubblica utilità, sentito l'organismo di controllo o l'ente di affiliazione, con espresso e assoluto divieto di qualsiasi ripartizione o rimborso a favore dei soci.</w:t>
      </w:r>
    </w:p>
    <w:p w:rsidR="004D4AEC" w:rsidRPr="00785BFA" w:rsidRDefault="004D4AEC" w:rsidP="00785BFA">
      <w:pPr>
        <w:pStyle w:val="Titolo3"/>
      </w:pPr>
      <w:r w:rsidRPr="00785BFA">
        <w:t>Art. 29 – Controversie sportive e interne</w:t>
      </w:r>
    </w:p>
    <w:p w:rsidR="004D4AEC" w:rsidRPr="00785BFA" w:rsidRDefault="004D4AEC" w:rsidP="00973FF2">
      <w:pPr>
        <w:pStyle w:val="NormaleWeb"/>
        <w:widowControl w:val="0"/>
        <w:numPr>
          <w:ilvl w:val="0"/>
          <w:numId w:val="35"/>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Le controversie in materia sportiva e disciplinare interna (in particolare relative alla sicurezza attiva e all'uso del campo di tiro) sono devolute agli organi competenti dell'Associazione e agli organi di giustizia dell'ente di affiliazione, garantendo l'immediata esecutività dei provvedimenti a tutela dell'incolumità pubblica.</w:t>
      </w:r>
    </w:p>
    <w:p w:rsidR="004D4AEC" w:rsidRPr="00785BFA" w:rsidRDefault="004D4AEC" w:rsidP="00785BFA">
      <w:pPr>
        <w:pStyle w:val="Titolo3"/>
      </w:pPr>
      <w:r w:rsidRPr="00785BFA">
        <w:t>Art. 30 – Norme finali e rinvio</w:t>
      </w:r>
    </w:p>
    <w:p w:rsidR="004D4AEC" w:rsidRPr="00A02B4C" w:rsidRDefault="004D4AEC" w:rsidP="00973FF2">
      <w:pPr>
        <w:pStyle w:val="NormaleWeb"/>
        <w:widowControl w:val="0"/>
        <w:numPr>
          <w:ilvl w:val="0"/>
          <w:numId w:val="36"/>
        </w:numPr>
        <w:spacing w:before="0" w:beforeAutospacing="0" w:after="0" w:afterAutospacing="0"/>
        <w:jc w:val="both"/>
        <w:rPr>
          <w:rFonts w:asciiTheme="majorHAnsi" w:hAnsiTheme="majorHAnsi" w:cstheme="majorHAnsi"/>
          <w:sz w:val="22"/>
          <w:szCs w:val="22"/>
        </w:rPr>
      </w:pPr>
      <w:r w:rsidRPr="00785BFA">
        <w:rPr>
          <w:rFonts w:asciiTheme="majorHAnsi" w:hAnsiTheme="majorHAnsi" w:cstheme="majorHAnsi"/>
          <w:color w:val="111111"/>
          <w:sz w:val="22"/>
          <w:szCs w:val="22"/>
        </w:rPr>
        <w:t xml:space="preserve">Per quanto non espressamente previsto dal presente statuto si applicano le norme del Codice civile,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36/2021, del </w:t>
      </w:r>
      <w:proofErr w:type="spellStart"/>
      <w:r w:rsidRPr="00785BFA">
        <w:rPr>
          <w:rFonts w:asciiTheme="majorHAnsi" w:hAnsiTheme="majorHAnsi" w:cstheme="majorHAnsi"/>
          <w:color w:val="111111"/>
          <w:sz w:val="22"/>
          <w:szCs w:val="22"/>
        </w:rPr>
        <w:t>D.Lgs.</w:t>
      </w:r>
      <w:proofErr w:type="spellEnd"/>
      <w:r w:rsidRPr="00785BFA">
        <w:rPr>
          <w:rFonts w:asciiTheme="majorHAnsi" w:hAnsiTheme="majorHAnsi" w:cstheme="majorHAnsi"/>
          <w:color w:val="111111"/>
          <w:sz w:val="22"/>
          <w:szCs w:val="22"/>
        </w:rPr>
        <w:t xml:space="preserve"> 39/2021 e le disposizioni fiscali vigenti per gli enti non commerciali e le ASD.</w:t>
      </w:r>
    </w:p>
    <w:p w:rsidR="00A02B4C" w:rsidRDefault="00A02B4C" w:rsidP="00A02B4C">
      <w:pPr>
        <w:pStyle w:val="NormaleWeb"/>
        <w:widowControl w:val="0"/>
        <w:spacing w:before="0" w:beforeAutospacing="0" w:after="0" w:afterAutospacing="0"/>
        <w:jc w:val="both"/>
        <w:rPr>
          <w:rFonts w:asciiTheme="majorHAnsi" w:hAnsiTheme="majorHAnsi" w:cstheme="majorHAnsi"/>
          <w:sz w:val="22"/>
          <w:szCs w:val="22"/>
        </w:rPr>
      </w:pPr>
    </w:p>
    <w:p w:rsidR="00A02B4C" w:rsidRDefault="00A02B4C" w:rsidP="00A02B4C">
      <w:pPr>
        <w:pStyle w:val="NormaleWeb"/>
        <w:widowControl w:val="0"/>
        <w:spacing w:before="0" w:beforeAutospacing="0" w:after="0" w:afterAutospacing="0"/>
        <w:jc w:val="both"/>
        <w:rPr>
          <w:rFonts w:asciiTheme="majorHAnsi" w:hAnsiTheme="majorHAnsi" w:cstheme="majorHAnsi"/>
          <w:sz w:val="22"/>
          <w:szCs w:val="22"/>
        </w:rPr>
      </w:pPr>
    </w:p>
    <w:p w:rsidR="00A02B4C" w:rsidRPr="00785BFA" w:rsidRDefault="00A02B4C" w:rsidP="00A02B4C">
      <w:pPr>
        <w:pStyle w:val="NormaleWeb"/>
        <w:widowControl w:val="0"/>
        <w:spacing w:before="0" w:beforeAutospacing="0" w:after="0" w:afterAutospacing="0"/>
        <w:jc w:val="both"/>
        <w:rPr>
          <w:rFonts w:asciiTheme="majorHAnsi" w:hAnsiTheme="majorHAnsi" w:cstheme="majorHAnsi"/>
          <w:sz w:val="22"/>
          <w:szCs w:val="22"/>
        </w:rPr>
      </w:pPr>
      <w:r>
        <w:rPr>
          <w:rFonts w:asciiTheme="majorHAnsi" w:hAnsiTheme="majorHAnsi" w:cstheme="majorHAnsi"/>
          <w:sz w:val="22"/>
          <w:szCs w:val="22"/>
        </w:rPr>
        <w:t>Castel Viscardo, 16 novembre 2026</w:t>
      </w:r>
    </w:p>
    <w:p w:rsidR="00103810" w:rsidRPr="00785BFA" w:rsidRDefault="00103810" w:rsidP="00785BFA">
      <w:pPr>
        <w:widowControl w:val="0"/>
        <w:rPr>
          <w:rFonts w:asciiTheme="majorHAnsi" w:hAnsiTheme="majorHAnsi" w:cstheme="majorHAnsi"/>
        </w:rPr>
      </w:pPr>
    </w:p>
    <w:sectPr w:rsidR="00103810" w:rsidRPr="00785BFA" w:rsidSect="003202C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3FF2" w:rsidRDefault="00973FF2" w:rsidP="00B771AD">
      <w:pPr>
        <w:spacing w:after="0" w:line="240" w:lineRule="auto"/>
      </w:pPr>
      <w:r>
        <w:separator/>
      </w:r>
    </w:p>
  </w:endnote>
  <w:endnote w:type="continuationSeparator" w:id="0">
    <w:p w:rsidR="00973FF2" w:rsidRDefault="00973FF2" w:rsidP="00B7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5896" w:rsidRDefault="00EF5896" w:rsidP="00EF5896">
    <w:pPr>
      <w:pStyle w:val="NormaleWeb"/>
      <w:spacing w:before="0" w:beforeAutospacing="0" w:after="0" w:afterAutospacing="0"/>
      <w:jc w:val="right"/>
      <w:rPr>
        <w:rFonts w:ascii="Calibri" w:hAnsi="Calibri" w:cs="Calibri"/>
        <w:color w:val="595959"/>
        <w:sz w:val="20"/>
        <w:szCs w:val="20"/>
      </w:rPr>
    </w:pPr>
    <w:r>
      <w:rPr>
        <w:rFonts w:ascii="Calibri" w:hAnsi="Calibri" w:cs="Calibri"/>
        <w:color w:val="595959"/>
        <w:sz w:val="20"/>
        <w:szCs w:val="20"/>
      </w:rPr>
      <w:t xml:space="preserve">Pag. </w:t>
    </w:r>
    <w:r w:rsidRPr="00EF5896">
      <w:rPr>
        <w:rFonts w:ascii="Calibri" w:hAnsi="Calibri" w:cs="Calibri"/>
        <w:color w:val="595959"/>
        <w:sz w:val="20"/>
        <w:szCs w:val="20"/>
      </w:rPr>
      <w:fldChar w:fldCharType="begin"/>
    </w:r>
    <w:r w:rsidRPr="00EF5896">
      <w:rPr>
        <w:rFonts w:ascii="Calibri" w:hAnsi="Calibri" w:cs="Calibri"/>
        <w:color w:val="595959"/>
        <w:sz w:val="20"/>
        <w:szCs w:val="20"/>
      </w:rPr>
      <w:instrText>PAGE   \* MERGEFORMAT</w:instrText>
    </w:r>
    <w:r w:rsidRPr="00EF5896">
      <w:rPr>
        <w:rFonts w:ascii="Calibri" w:hAnsi="Calibri" w:cs="Calibri"/>
        <w:color w:val="595959"/>
        <w:sz w:val="20"/>
        <w:szCs w:val="20"/>
      </w:rPr>
      <w:fldChar w:fldCharType="separate"/>
    </w:r>
    <w:r w:rsidRPr="00EF5896">
      <w:rPr>
        <w:rFonts w:ascii="Calibri" w:hAnsi="Calibri" w:cs="Calibri"/>
        <w:color w:val="595959"/>
        <w:sz w:val="20"/>
        <w:szCs w:val="20"/>
      </w:rPr>
      <w:t>1</w:t>
    </w:r>
    <w:r w:rsidRPr="00EF5896">
      <w:rPr>
        <w:rFonts w:ascii="Calibri" w:hAnsi="Calibri" w:cs="Calibri"/>
        <w:color w:val="595959"/>
        <w:sz w:val="20"/>
        <w:szCs w:val="20"/>
      </w:rPr>
      <w:fldChar w:fldCharType="end"/>
    </w:r>
    <w:r>
      <w:rPr>
        <w:rFonts w:ascii="Calibri" w:hAnsi="Calibri" w:cs="Calibri"/>
        <w:color w:val="595959"/>
        <w:sz w:val="20"/>
        <w:szCs w:val="20"/>
      </w:rPr>
      <w:t>/</w:t>
    </w:r>
    <w:r>
      <w:rPr>
        <w:rFonts w:ascii="Calibri" w:hAnsi="Calibri" w:cs="Calibri"/>
        <w:color w:val="595959"/>
        <w:sz w:val="20"/>
        <w:szCs w:val="20"/>
      </w:rPr>
      <w:fldChar w:fldCharType="begin"/>
    </w:r>
    <w:r>
      <w:rPr>
        <w:rFonts w:ascii="Calibri" w:hAnsi="Calibri" w:cs="Calibri"/>
        <w:color w:val="595959"/>
        <w:sz w:val="20"/>
        <w:szCs w:val="20"/>
      </w:rPr>
      <w:instrText xml:space="preserve"> NUMPAGES   \* MERGEFORMAT </w:instrText>
    </w:r>
    <w:r>
      <w:rPr>
        <w:rFonts w:ascii="Calibri" w:hAnsi="Calibri" w:cs="Calibri"/>
        <w:color w:val="595959"/>
        <w:sz w:val="20"/>
        <w:szCs w:val="20"/>
      </w:rPr>
      <w:fldChar w:fldCharType="separate"/>
    </w:r>
    <w:r>
      <w:rPr>
        <w:rFonts w:ascii="Calibri" w:hAnsi="Calibri" w:cs="Calibri"/>
        <w:noProof/>
        <w:color w:val="595959"/>
        <w:sz w:val="20"/>
        <w:szCs w:val="20"/>
      </w:rPr>
      <w:t>6</w:t>
    </w:r>
    <w:r>
      <w:rPr>
        <w:rFonts w:ascii="Calibri" w:hAnsi="Calibri" w:cs="Calibri"/>
        <w:color w:val="595959"/>
        <w:sz w:val="20"/>
        <w:szCs w:val="20"/>
      </w:rPr>
      <w:fldChar w:fldCharType="end"/>
    </w:r>
  </w:p>
  <w:p w:rsidR="00B771AD" w:rsidRPr="00331747" w:rsidRDefault="00B771AD" w:rsidP="00331747">
    <w:pPr>
      <w:pStyle w:val="NormaleWeb"/>
      <w:pBdr>
        <w:top w:val="single" w:sz="4" w:space="1" w:color="A6A6A6" w:themeColor="background1" w:themeShade="A6"/>
      </w:pBdr>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B.A.S. Compagnia Arcieri Castel Viscardo</w:t>
    </w:r>
  </w:p>
  <w:p w:rsidR="00490A6E"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SS 107 Campo di tiro "Franco </w:t>
    </w:r>
    <w:proofErr w:type="spellStart"/>
    <w:r w:rsidRPr="00331747">
      <w:rPr>
        <w:rFonts w:ascii="Calibri" w:hAnsi="Calibri" w:cs="Calibri"/>
        <w:color w:val="A6A6A6" w:themeColor="background1" w:themeShade="A6"/>
        <w:sz w:val="20"/>
        <w:szCs w:val="20"/>
      </w:rPr>
      <w:t>Cortignani</w:t>
    </w:r>
    <w:proofErr w:type="spellEnd"/>
    <w:r w:rsidRPr="00331747">
      <w:rPr>
        <w:rFonts w:ascii="Calibri" w:hAnsi="Calibri" w:cs="Calibri"/>
        <w:color w:val="A6A6A6" w:themeColor="background1" w:themeShade="A6"/>
        <w:sz w:val="20"/>
        <w:szCs w:val="20"/>
      </w:rPr>
      <w:t>", località Macchietto, Viceno, 05014 Castel Viscardo (TR).</w:t>
    </w:r>
    <w:r w:rsidRPr="00331747">
      <w:rPr>
        <w:color w:val="A6A6A6" w:themeColor="background1" w:themeShade="A6"/>
      </w:rPr>
      <w:t xml:space="preserve"> </w:t>
    </w:r>
  </w:p>
  <w:p w:rsidR="00B771AD"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arciericastello.it </w:t>
    </w:r>
    <w:r w:rsidR="00430DD1">
      <w:rPr>
        <w:rFonts w:ascii="Calibri" w:hAnsi="Calibri" w:cs="Calibri"/>
        <w:color w:val="A6A6A6" w:themeColor="background1" w:themeShade="A6"/>
        <w:sz w:val="20"/>
        <w:szCs w:val="20"/>
      </w:rPr>
      <w:t xml:space="preserve">- </w:t>
    </w:r>
    <w:r w:rsidRPr="00331747">
      <w:rPr>
        <w:rFonts w:ascii="Calibri" w:hAnsi="Calibri" w:cs="Calibri"/>
        <w:color w:val="A6A6A6" w:themeColor="background1" w:themeShade="A6"/>
        <w:sz w:val="20"/>
        <w:szCs w:val="20"/>
      </w:rPr>
      <w:t>info@arciericastello.it</w:t>
    </w:r>
    <w:r w:rsidR="00B771AD" w:rsidRPr="00331747">
      <w:rPr>
        <w:color w:val="A6A6A6" w:themeColor="background1" w:themeShade="A6"/>
      </w:rPr>
      <w:t xml:space="preserve"> - </w:t>
    </w:r>
    <w:r w:rsidR="00B771AD" w:rsidRPr="00331747">
      <w:rPr>
        <w:rFonts w:ascii="Calibri" w:hAnsi="Calibri" w:cs="Calibri"/>
        <w:color w:val="A6A6A6" w:themeColor="background1" w:themeShade="A6"/>
        <w:sz w:val="20"/>
        <w:szCs w:val="20"/>
      </w:rPr>
      <w:t>328 5944909</w:t>
    </w:r>
  </w:p>
  <w:p w:rsidR="00B771AD" w:rsidRDefault="00B771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3FF2" w:rsidRDefault="00973FF2" w:rsidP="00B771AD">
      <w:pPr>
        <w:spacing w:after="0" w:line="240" w:lineRule="auto"/>
      </w:pPr>
      <w:r>
        <w:separator/>
      </w:r>
    </w:p>
  </w:footnote>
  <w:footnote w:type="continuationSeparator" w:id="0">
    <w:p w:rsidR="00973FF2" w:rsidRDefault="00973FF2" w:rsidP="00B7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9"/>
      <w:gridCol w:w="3754"/>
    </w:tblGrid>
    <w:tr w:rsidR="00490A6E" w:rsidTr="002B2346">
      <w:tc>
        <w:tcPr>
          <w:tcW w:w="1599" w:type="dxa"/>
        </w:tcPr>
        <w:p w:rsidR="00490A6E" w:rsidRDefault="00490A6E" w:rsidP="00490A6E">
          <w:pPr>
            <w:pStyle w:val="Intestazione"/>
            <w:rPr>
              <w:rFonts w:asciiTheme="majorHAnsi" w:hAnsiTheme="majorHAnsi" w:cstheme="majorHAnsi"/>
            </w:rPr>
          </w:pPr>
          <w:r>
            <w:rPr>
              <w:noProof/>
            </w:rPr>
            <w:drawing>
              <wp:inline distT="0" distB="0" distL="0" distR="0" wp14:anchorId="4B8AC40F" wp14:editId="25904E1D">
                <wp:extent cx="878400" cy="720000"/>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rcieri Castel Viscardo.png"/>
                        <pic:cNvPicPr/>
                      </pic:nvPicPr>
                      <pic:blipFill>
                        <a:blip r:embed="rId1"/>
                        <a:stretch>
                          <a:fillRect/>
                        </a:stretch>
                      </pic:blipFill>
                      <pic:spPr>
                        <a:xfrm>
                          <a:off x="0" y="0"/>
                          <a:ext cx="878400" cy="720000"/>
                        </a:xfrm>
                        <a:prstGeom prst="rect">
                          <a:avLst/>
                        </a:prstGeom>
                      </pic:spPr>
                    </pic:pic>
                  </a:graphicData>
                </a:graphic>
              </wp:inline>
            </w:drawing>
          </w:r>
        </w:p>
      </w:tc>
      <w:tc>
        <w:tcPr>
          <w:tcW w:w="3754" w:type="dxa"/>
          <w:vAlign w:val="center"/>
        </w:tcPr>
        <w:p w:rsidR="00490A6E" w:rsidRPr="00490A6E" w:rsidRDefault="00490A6E" w:rsidP="00490A6E">
          <w:pPr>
            <w:pStyle w:val="Intestazione"/>
            <w:rPr>
              <w:rFonts w:asciiTheme="majorHAnsi" w:hAnsiTheme="majorHAnsi" w:cstheme="majorHAnsi"/>
              <w:i/>
            </w:rPr>
          </w:pPr>
          <w:r w:rsidRPr="00490A6E">
            <w:rPr>
              <w:rFonts w:asciiTheme="majorHAnsi" w:hAnsiTheme="majorHAnsi" w:cstheme="majorHAnsi"/>
              <w:i/>
            </w:rPr>
            <w:t>Base Associativa Sportiva</w:t>
          </w:r>
        </w:p>
        <w:p w:rsidR="00490A6E" w:rsidRPr="00490A6E" w:rsidRDefault="00490A6E" w:rsidP="00490A6E">
          <w:pPr>
            <w:pStyle w:val="Intestazione"/>
            <w:rPr>
              <w:rFonts w:asciiTheme="majorHAnsi" w:hAnsiTheme="majorHAnsi" w:cstheme="majorHAnsi"/>
              <w:b/>
            </w:rPr>
          </w:pPr>
          <w:r w:rsidRPr="00490A6E">
            <w:rPr>
              <w:rFonts w:asciiTheme="majorHAnsi" w:hAnsiTheme="majorHAnsi" w:cstheme="majorHAnsi"/>
              <w:b/>
            </w:rPr>
            <w:t>Compagnia Arcieri Castel Viscardo</w:t>
          </w:r>
        </w:p>
      </w:tc>
    </w:tr>
  </w:tbl>
  <w:p w:rsidR="00490A6E" w:rsidRDefault="00490A6E" w:rsidP="00490A6E">
    <w:pPr>
      <w:pStyle w:val="Intestazione"/>
    </w:pPr>
  </w:p>
  <w:p w:rsidR="00490A6E" w:rsidRPr="00490A6E" w:rsidRDefault="00490A6E" w:rsidP="00490A6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51641FA"/>
    <w:multiLevelType w:val="hybridMultilevel"/>
    <w:tmpl w:val="357434F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07C36151"/>
    <w:multiLevelType w:val="hybridMultilevel"/>
    <w:tmpl w:val="337A5E8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13D12BE"/>
    <w:multiLevelType w:val="hybridMultilevel"/>
    <w:tmpl w:val="50E26DB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4C33C3B"/>
    <w:multiLevelType w:val="hybridMultilevel"/>
    <w:tmpl w:val="4076602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85B22E0"/>
    <w:multiLevelType w:val="hybridMultilevel"/>
    <w:tmpl w:val="3F645E6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91C52F5"/>
    <w:multiLevelType w:val="hybridMultilevel"/>
    <w:tmpl w:val="6A7448A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B144EED"/>
    <w:multiLevelType w:val="hybridMultilevel"/>
    <w:tmpl w:val="58262E6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CC65D16"/>
    <w:multiLevelType w:val="hybridMultilevel"/>
    <w:tmpl w:val="C652EAF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2AB070E"/>
    <w:multiLevelType w:val="hybridMultilevel"/>
    <w:tmpl w:val="B796A4D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282B65"/>
    <w:multiLevelType w:val="hybridMultilevel"/>
    <w:tmpl w:val="AC304B4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B651DB"/>
    <w:multiLevelType w:val="hybridMultilevel"/>
    <w:tmpl w:val="C38C81D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5F231FA"/>
    <w:multiLevelType w:val="hybridMultilevel"/>
    <w:tmpl w:val="F7CE667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DF4713F"/>
    <w:multiLevelType w:val="hybridMultilevel"/>
    <w:tmpl w:val="0D502F3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F3A619B"/>
    <w:multiLevelType w:val="hybridMultilevel"/>
    <w:tmpl w:val="91AC11F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14A76FB"/>
    <w:multiLevelType w:val="hybridMultilevel"/>
    <w:tmpl w:val="27E6293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3345638"/>
    <w:multiLevelType w:val="hybridMultilevel"/>
    <w:tmpl w:val="C6961B48"/>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7CE6283"/>
    <w:multiLevelType w:val="hybridMultilevel"/>
    <w:tmpl w:val="4942E46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8C2468A"/>
    <w:multiLevelType w:val="hybridMultilevel"/>
    <w:tmpl w:val="F74808B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B2C7517"/>
    <w:multiLevelType w:val="hybridMultilevel"/>
    <w:tmpl w:val="5BAE9C8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F1200AD"/>
    <w:multiLevelType w:val="hybridMultilevel"/>
    <w:tmpl w:val="8EE0D166"/>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15D74C5"/>
    <w:multiLevelType w:val="hybridMultilevel"/>
    <w:tmpl w:val="209C8476"/>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5885BCD"/>
    <w:multiLevelType w:val="hybridMultilevel"/>
    <w:tmpl w:val="E6C81C8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9D55703"/>
    <w:multiLevelType w:val="hybridMultilevel"/>
    <w:tmpl w:val="8594151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A115D80"/>
    <w:multiLevelType w:val="hybridMultilevel"/>
    <w:tmpl w:val="1460188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BE04663"/>
    <w:multiLevelType w:val="hybridMultilevel"/>
    <w:tmpl w:val="6A98C45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F1F475F"/>
    <w:multiLevelType w:val="hybridMultilevel"/>
    <w:tmpl w:val="B6F6884E"/>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70DA225C"/>
    <w:multiLevelType w:val="hybridMultilevel"/>
    <w:tmpl w:val="91DE53A4"/>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D1C7FD9"/>
    <w:multiLevelType w:val="hybridMultilevel"/>
    <w:tmpl w:val="DE12189C"/>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631B0F"/>
    <w:multiLevelType w:val="hybridMultilevel"/>
    <w:tmpl w:val="7EBA11FA"/>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F635404"/>
    <w:multiLevelType w:val="hybridMultilevel"/>
    <w:tmpl w:val="CCF08890"/>
    <w:lvl w:ilvl="0" w:tplc="A022C79E">
      <w:start w:val="1"/>
      <w:numFmt w:val="decimal"/>
      <w:lvlText w:val="%1."/>
      <w:lvlJc w:val="left"/>
      <w:pPr>
        <w:ind w:left="720" w:hanging="360"/>
      </w:pPr>
      <w:rPr>
        <w:rFonts w:hint="default"/>
        <w:color w:val="11111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5"/>
  </w:num>
  <w:num w:numId="9">
    <w:abstractNumId w:val="17"/>
  </w:num>
  <w:num w:numId="10">
    <w:abstractNumId w:val="26"/>
  </w:num>
  <w:num w:numId="11">
    <w:abstractNumId w:val="31"/>
  </w:num>
  <w:num w:numId="12">
    <w:abstractNumId w:val="8"/>
  </w:num>
  <w:num w:numId="13">
    <w:abstractNumId w:val="28"/>
  </w:num>
  <w:num w:numId="14">
    <w:abstractNumId w:val="29"/>
  </w:num>
  <w:num w:numId="15">
    <w:abstractNumId w:val="10"/>
  </w:num>
  <w:num w:numId="16">
    <w:abstractNumId w:val="18"/>
  </w:num>
  <w:num w:numId="17">
    <w:abstractNumId w:val="14"/>
  </w:num>
  <w:num w:numId="18">
    <w:abstractNumId w:val="34"/>
  </w:num>
  <w:num w:numId="19">
    <w:abstractNumId w:val="6"/>
  </w:num>
  <w:num w:numId="20">
    <w:abstractNumId w:val="23"/>
  </w:num>
  <w:num w:numId="21">
    <w:abstractNumId w:val="9"/>
  </w:num>
  <w:num w:numId="22">
    <w:abstractNumId w:val="7"/>
  </w:num>
  <w:num w:numId="23">
    <w:abstractNumId w:val="33"/>
  </w:num>
  <w:num w:numId="24">
    <w:abstractNumId w:val="21"/>
  </w:num>
  <w:num w:numId="25">
    <w:abstractNumId w:val="13"/>
  </w:num>
  <w:num w:numId="26">
    <w:abstractNumId w:val="22"/>
  </w:num>
  <w:num w:numId="27">
    <w:abstractNumId w:val="24"/>
  </w:num>
  <w:num w:numId="28">
    <w:abstractNumId w:val="20"/>
  </w:num>
  <w:num w:numId="29">
    <w:abstractNumId w:val="35"/>
  </w:num>
  <w:num w:numId="30">
    <w:abstractNumId w:val="19"/>
  </w:num>
  <w:num w:numId="31">
    <w:abstractNumId w:val="30"/>
  </w:num>
  <w:num w:numId="32">
    <w:abstractNumId w:val="27"/>
  </w:num>
  <w:num w:numId="33">
    <w:abstractNumId w:val="16"/>
  </w:num>
  <w:num w:numId="34">
    <w:abstractNumId w:val="25"/>
  </w:num>
  <w:num w:numId="35">
    <w:abstractNumId w:val="32"/>
  </w:num>
  <w:num w:numId="36">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D2"/>
    <w:rsid w:val="00103810"/>
    <w:rsid w:val="0013124A"/>
    <w:rsid w:val="0015074B"/>
    <w:rsid w:val="001E24ED"/>
    <w:rsid w:val="0029639D"/>
    <w:rsid w:val="003202C6"/>
    <w:rsid w:val="00326F90"/>
    <w:rsid w:val="00331747"/>
    <w:rsid w:val="00374156"/>
    <w:rsid w:val="003829D1"/>
    <w:rsid w:val="003E18DF"/>
    <w:rsid w:val="00430DD1"/>
    <w:rsid w:val="00490A6E"/>
    <w:rsid w:val="004C2FB9"/>
    <w:rsid w:val="004D4AEC"/>
    <w:rsid w:val="00624201"/>
    <w:rsid w:val="00656C74"/>
    <w:rsid w:val="007063B4"/>
    <w:rsid w:val="00785BFA"/>
    <w:rsid w:val="008244C8"/>
    <w:rsid w:val="00946327"/>
    <w:rsid w:val="00973FF2"/>
    <w:rsid w:val="009778A1"/>
    <w:rsid w:val="00A02B4C"/>
    <w:rsid w:val="00A02FCD"/>
    <w:rsid w:val="00A56164"/>
    <w:rsid w:val="00AA1D8D"/>
    <w:rsid w:val="00B47730"/>
    <w:rsid w:val="00B771AD"/>
    <w:rsid w:val="00BF479C"/>
    <w:rsid w:val="00C30BF0"/>
    <w:rsid w:val="00CB0664"/>
    <w:rsid w:val="00D444A0"/>
    <w:rsid w:val="00DB6F22"/>
    <w:rsid w:val="00E73A9D"/>
    <w:rsid w:val="00E94C0C"/>
    <w:rsid w:val="00EB43C7"/>
    <w:rsid w:val="00ED4586"/>
    <w:rsid w:val="00EF5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B85044"/>
  <w14:defaultImageDpi w14:val="300"/>
  <w15:docId w15:val="{8C45F45D-4C33-476A-803E-12B8BBB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3202C6"/>
    <w:pPr>
      <w:keepNext/>
      <w:keepLines/>
      <w:spacing w:before="480" w:after="480"/>
      <w:jc w:val="center"/>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785BFA"/>
    <w:pPr>
      <w:widowControl w:val="0"/>
      <w:spacing w:before="240" w:after="240"/>
      <w:jc w:val="center"/>
      <w:outlineLvl w:val="1"/>
    </w:pPr>
    <w:rPr>
      <w:rFonts w:asciiTheme="majorHAnsi" w:eastAsiaTheme="majorEastAsia" w:hAnsiTheme="majorHAnsi" w:cstheme="majorHAnsi"/>
      <w:b/>
      <w:bCs/>
      <w:sz w:val="32"/>
      <w:szCs w:val="32"/>
    </w:rPr>
  </w:style>
  <w:style w:type="paragraph" w:styleId="Titolo3">
    <w:name w:val="heading 3"/>
    <w:basedOn w:val="Normale"/>
    <w:next w:val="Normale"/>
    <w:link w:val="Titolo3Carattere"/>
    <w:uiPriority w:val="9"/>
    <w:unhideWhenUsed/>
    <w:qFormat/>
    <w:rsid w:val="00785BFA"/>
    <w:pPr>
      <w:widowControl w:val="0"/>
      <w:spacing w:before="120" w:after="0"/>
      <w:jc w:val="both"/>
      <w:outlineLvl w:val="2"/>
    </w:pPr>
    <w:rPr>
      <w:rFonts w:asciiTheme="majorHAnsi" w:eastAsiaTheme="majorEastAsia" w:hAnsiTheme="majorHAnsi" w:cstheme="majorHAnsi"/>
      <w:b/>
      <w:bCs/>
      <w:smallCaps/>
      <w:sz w:val="24"/>
      <w:szCs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3202C6"/>
    <w:rPr>
      <w:rFonts w:asciiTheme="majorHAnsi" w:eastAsiaTheme="majorEastAsia" w:hAnsiTheme="majorHAnsi" w:cstheme="majorBidi"/>
      <w:b/>
      <w:bCs/>
      <w:sz w:val="28"/>
      <w:szCs w:val="28"/>
    </w:rPr>
  </w:style>
  <w:style w:type="character" w:customStyle="1" w:styleId="Titolo2Carattere">
    <w:name w:val="Titolo 2 Carattere"/>
    <w:basedOn w:val="Carpredefinitoparagrafo"/>
    <w:link w:val="Titolo2"/>
    <w:uiPriority w:val="9"/>
    <w:rsid w:val="00785BFA"/>
    <w:rPr>
      <w:rFonts w:asciiTheme="majorHAnsi" w:eastAsiaTheme="majorEastAsia" w:hAnsiTheme="majorHAnsi" w:cstheme="majorHAnsi"/>
      <w:b/>
      <w:bCs/>
      <w:sz w:val="32"/>
      <w:szCs w:val="32"/>
      <w:lang w:val="it-IT"/>
    </w:rPr>
  </w:style>
  <w:style w:type="character" w:customStyle="1" w:styleId="Titolo3Carattere">
    <w:name w:val="Titolo 3 Carattere"/>
    <w:basedOn w:val="Carpredefinitoparagrafo"/>
    <w:link w:val="Titolo3"/>
    <w:uiPriority w:val="9"/>
    <w:rsid w:val="00785BFA"/>
    <w:rPr>
      <w:rFonts w:asciiTheme="majorHAnsi" w:eastAsiaTheme="majorEastAsia" w:hAnsiTheme="majorHAnsi" w:cstheme="majorHAnsi"/>
      <w:b/>
      <w:bCs/>
      <w:smallCaps/>
      <w:sz w:val="24"/>
      <w:szCs w:val="24"/>
      <w:lang w:val="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B771A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8244C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244C8"/>
    <w:rPr>
      <w:rFonts w:ascii="Segoe UI" w:hAnsi="Segoe UI" w:cs="Segoe UI"/>
      <w:sz w:val="18"/>
      <w:szCs w:val="1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653687">
      <w:bodyDiv w:val="1"/>
      <w:marLeft w:val="0"/>
      <w:marRight w:val="0"/>
      <w:marTop w:val="0"/>
      <w:marBottom w:val="0"/>
      <w:divBdr>
        <w:top w:val="none" w:sz="0" w:space="0" w:color="auto"/>
        <w:left w:val="none" w:sz="0" w:space="0" w:color="auto"/>
        <w:bottom w:val="none" w:sz="0" w:space="0" w:color="auto"/>
        <w:right w:val="none" w:sz="0" w:space="0" w:color="auto"/>
      </w:divBdr>
    </w:div>
    <w:div w:id="930509277">
      <w:bodyDiv w:val="1"/>
      <w:marLeft w:val="0"/>
      <w:marRight w:val="0"/>
      <w:marTop w:val="0"/>
      <w:marBottom w:val="0"/>
      <w:divBdr>
        <w:top w:val="none" w:sz="0" w:space="0" w:color="auto"/>
        <w:left w:val="none" w:sz="0" w:space="0" w:color="auto"/>
        <w:bottom w:val="none" w:sz="0" w:space="0" w:color="auto"/>
        <w:right w:val="none" w:sz="0" w:space="0" w:color="auto"/>
      </w:divBdr>
    </w:div>
    <w:div w:id="21254656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09196-C213-4DA3-A291-045D89AE4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2274</Words>
  <Characters>12964</Characters>
  <Application>Microsoft Office Word</Application>
  <DocSecurity>0</DocSecurity>
  <Lines>108</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B.A.S. Statuto</vt:lpstr>
      <vt:lpstr/>
    </vt:vector>
  </TitlesOfParts>
  <Manager/>
  <Company/>
  <LinksUpToDate>false</LinksUpToDate>
  <CharactersWithSpaces>15208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 Statuto</dc:title>
  <dc:subject/>
  <dc:creator>Paolo Zanetti</dc:creator>
  <cp:keywords/>
  <dc:description>generated by python-docx</dc:description>
  <cp:lastModifiedBy>Paolo</cp:lastModifiedBy>
  <cp:revision>15</cp:revision>
  <cp:lastPrinted>2026-10-20T16:55:00Z</cp:lastPrinted>
  <dcterms:created xsi:type="dcterms:W3CDTF">2026-10-18T06:16:00Z</dcterms:created>
  <dcterms:modified xsi:type="dcterms:W3CDTF">2026-10-20T20:22:00Z</dcterms:modified>
  <cp:category/>
</cp:coreProperties>
</file>