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REGOLAMENTO INTERNO — COMPAGNIA ARCIERI CASTEL VISCARDO A.S.D.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i w:val="1"/>
          <w:iCs w:val="1"/>
          <w:rtl w:val="0"/>
        </w:rPr>
        <w:t xml:space="preserve">Testo Coordinato e Aggiornato (Versione V13) — Conforme alle prescrizioni statutarie, fiscali, di rigorosa gestione contabile, tracciabilità dei corsi, quadratura cassa e alle specifiche tecniche ed etiche dell'Ente di Promozione Sportiva (CSEN): riserva della didattica a tecnici qualificati SNaQ/CONI/EPS e sicurezza passiva dei percorsi 3D/campagna.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t xml:space="preserve">Il presente Regolamento adotta una struttura basata sull'enunciazione della regola associativa accompagnata dall'esplicita motivazione (ratio) che la giustifica, al fine di favorire la piena consapevolezza e la condivisione delle norme di convivenza, sicurezza e gestione da parte di tutti i soci.</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Gestione delle Strutture del Campo e Deposito Materiale</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5616"/>
        <w:gridCol w:w="3744"/>
        <w:tblGridChange w:id="0">
          <w:tblGrid>
            <w:gridCol w:w="5616"/>
            <w:gridCol w:w="3744"/>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0" w:before="180" w:lineRule="auto"/>
              <w:ind w:left="0" w:right="0" w:firstLine="0"/>
              <w:rPr>
                <w:color w:val="2d3748"/>
                <w:shd w:fill="auto" w:val="clear"/>
                <w:vertAlign w:val="baseline"/>
              </w:rPr>
            </w:pPr>
            <w:r w:rsidDel="00000000" w:rsidR="00000000" w:rsidRPr="00000000">
              <w:rPr>
                <w:color w:val="2d3748"/>
                <w:shd w:fill="auto" w:val="clear"/>
                <w:vertAlign w:val="baseline"/>
                <w:rtl w:val="0"/>
              </w:rPr>
              <w:t xml:space="preserve">Regola Associativa</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Perché (Ratio)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Accesso al campo di tiro e omologazione impianti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Il campo di tiro "Franco Cortignani", sito in località Macchietto, Viceno (Castel Viscardo), è accessibile esclusivamente ai soci in regola con il tesseramento sociale e federale (CSEN) per l'anno in corso. Le strutture e le linee di tiro devono rispettare i requisiti di omologazione e conformità tecnica stabiliti dalle direttive federali ed EPS.</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Garantire la piena operatività della copertura assicurativa RCT e infortuni collegata alla tessera EPS per chiunque frequenti le strutture, tutelando la sicurezza pubblica e la regolarità degli impianti omologati.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Deposito dell'attrezzatura sociale e personale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Gli arcieri possono lasciare la propria attrezzatura negli spazi adibiti al deposito (baracca/club house) esclusivamente per comodità e a proprio rischio e pericolo. Gli archi vanno riposti sulle rastrelliere, le faretre sugli appendiabiti, le frecce nelle faretre o nelle borse, e gli zaini sulle scaffalature. È severamente vietato lasciare oggetti a terra o nei transiti.</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L'associazione non svolge custodie professionali a titolo oneroso ma offre spazi di cortesia; l'ordine rigoroso e il divieto di lasciare oggetti sui pavimenti o nei passaggi sono essenziali per prevenire inciampi, infortuni e danneggiamenti accidentali all'attrezzatura.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Rispetto e salvaguardia delle dotazioni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I soci sono tenuti a rispettare le attrezzature sociali e a segnalare tempestivamente al Direttivo eventuali danneggiamenti.</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La conservazione del patrimonio comune e delle strutture operative riduce i costi di gestione e garantisce la continuità delle attività sportive in piena sicurezza.</w:t>
            </w:r>
          </w:p>
        </w:tc>
      </w:tr>
    </w:tbl>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rPr>
          <w:rtl w:val="0"/>
        </w:rPr>
        <w:t xml:space="preserve">2. Accesso ai Campi di Tiro, Sicurezza sulla Linea e Percorsi 3D</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5616"/>
        <w:gridCol w:w="3744"/>
        <w:tblGridChange w:id="0">
          <w:tblGrid>
            <w:gridCol w:w="5616"/>
            <w:gridCol w:w="3744"/>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Rule="auto"/>
              <w:ind w:left="0" w:right="0" w:firstLine="0"/>
              <w:rPr>
                <w:color w:val="2d3748"/>
                <w:shd w:fill="auto" w:val="clear"/>
                <w:vertAlign w:val="baseline"/>
              </w:rPr>
            </w:pPr>
            <w:r w:rsidDel="00000000" w:rsidR="00000000" w:rsidRPr="00000000">
              <w:rPr>
                <w:color w:val="2d3748"/>
                <w:shd w:fill="auto" w:val="clear"/>
                <w:vertAlign w:val="baseline"/>
                <w:rtl w:val="0"/>
              </w:rPr>
              <w:t xml:space="preserve">Regola Associativa</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Perché (Ratio)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Norme fondamentali di sicurezza attiva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È severamente vietato incoccare la freccia fuori linea. L'arco non deve mai essere puntato verso persone o zone non protette. È vietato tendere l'arco in aree comuni o dietro la linea di tiro. Non si sale sulla linea di tiro e non si recuperano le frecce senza il segnale ufficiale. È vietato il tiro a parabola. Al grido di "STOP!" o "ALT!", tutti gli arcieri devono interrompere immediatamente l'azione e disincoccare la freccia.</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Il tiro con l'arco utilizza attrezzi di potenziale offesa assimilabili ad armi sportive; la rigidità assoluta delle regole di ingaggio e l'interruzione immediata al comando di stop azzerano il rischio di incidenti gravissimi o lesioni personali.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Divieto di dispositivi acustici isolanti</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È vietato indossare cuffie, auricolari o dispositivi acustici isolanti sulla linea di tiro o sul percorso.</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La percezione uditiva tempestiva dei segnali di allarme ("STOP!" o "ALT!") e delle indicazioni impartite dai tecnici o dai compagni è un requisito salvavita irrinunciabile per la sicurezza collettiva.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Identificazione univoca delle frecce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Tutte le frecce devono recare in modo chiaro e indelebile il nome o le iniziali del proprietario.</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La marcatura delle frecce garantisce la tracciabilità in caso di smarrimento nel bosco o nei campi, risolve in modo inequivocabile le contestazioni sui punteggi durante le gare e le sessioni di verifica, ed evita scambi involontari di costosa attrezzatura tra i soci.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Sicurezza passiva e gestione dei percorsi naturalistici 3D/Campagna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L'accesso ai percorsi naturalistici 3D e al campo all'aperto richiede il rispetto rigoroso del Regolamento di Campo. Prima di ogni sessione di allenamento all'aperto o gara, i responsabili effettuano una ricognizione e predispongono una cartellonistica di pericolo per la delimitazione perimetrale delle aree di interfaccia con terzi non soci, a garanzia della sicurezza passiva e dell'operatività della polizza RCT.</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Prevenire qualsiasi interferenza con escursionisti o terzi nelle aree boschive aperte, adempiendo agli standard di sicurezza passiva imposti dall'ordinamento sportivo e dall'EPS.</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rPr>
          <w:rtl w:val="0"/>
        </w:rPr>
        <w:t xml:space="preserve">3. Governance, Didattica, Tracciabilità e Adempimenti Contabili</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5616"/>
        <w:gridCol w:w="3744"/>
        <w:tblGridChange w:id="0">
          <w:tblGrid>
            <w:gridCol w:w="5616"/>
            <w:gridCol w:w="3744"/>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Rule="auto"/>
              <w:ind w:left="0" w:right="0" w:firstLine="0"/>
              <w:rPr>
                <w:color w:val="2d3748"/>
                <w:shd w:fill="auto" w:val="clear"/>
                <w:vertAlign w:val="baseline"/>
              </w:rPr>
            </w:pPr>
            <w:r w:rsidDel="00000000" w:rsidR="00000000" w:rsidRPr="00000000">
              <w:rPr>
                <w:color w:val="2d3748"/>
                <w:shd w:fill="auto" w:val="clear"/>
                <w:vertAlign w:val="baseline"/>
                <w:rtl w:val="0"/>
              </w:rPr>
              <w:t xml:space="preserve">Regola Associativa</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Perché (Ratio)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Riserva della didattica e dei corsi a tecnici qualificati SNaQ/CONI/EPS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L'attività didattica, di avviamento e di allenamento all'interno dell'Associazione è affidata in via esclusiva a tecnici e istruttori in possesso di qualifica riconosciuta dall'ordinamento sportivo (SNaQ / CONI / EPS). Per ogni corso o sessione formativa deve essere formalmente associato il nominativo del tecnico responsabile.</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Garantire la qualità dell'insegnamento, la sicurezza degli allievi, il rispetto dei disciplinari federali e la piena validità delle coperture assicurative specifiche per l'attività didattica.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Regole di voto e computo degli astenuti nelle delibere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Nelle votazioni dell'Assemblea e del Consiglio Direttivo, gli astenuti concorrono al raggiungimento del quorum costitutivo (presenze) ma sono esclusi dal computo della maggioranza dei voti validi per il quorum deliberativo, calcolato esclusivamente sui voti favorevoli e contrari (salvo i quorum speciali previsti dallo Statuto).</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Garantire la chiarezza e l'inequivocabilità dei risultati di voto in conformità alle previsioni statutarie, evitando stalli e distinguendo nettamente la base dei presenti da quella dei votanti effettivi.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Verbalizzazione e archiviazione delle consultazioni telematiche asincrone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In caso di consultazioni telematiche asincrone del Consiglio Direttivo, il Segretario ha l'obbligo di archiviare digitalmente i flussi di voto (es. log di piattaforma o tracciati email) e di trascriverli tempestivamente nel libro verbali del Direttivo attribuendo marcatura temporale certa.</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Garantire la certezza formale, la tracciabilità giuridica e l'opponibilità dei verbali adottati a distanza, adempiendo rigorosamente alle prescrizioni dei libri informatici previste dal GDPR.</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Tempestività degli aggiornamenti e comunicazioni al RASD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Il Segretario e il Presidente curano la trasmissione tempestiva di ogni variazione del Consiglio Direttivo o del legale rappresentante agli enti di affiliazione e sul portale telematico RASD entro i termini perentori stabiliti dalla legge.</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Garantire la piena regolarità amministrativa e la continuità delle agevolazioni e delle qualifiche dell'ASD, evitando decadenze o sanzioni per omessa comunicazione.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Tracciabilità analitica dei corsi, punto di ristoro, quadratura giornaliera e conservazione immodificabile dei registri contabili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Tutti i pagamenti di quote, corrispettivi di corsi didattici e liberalità devono essere eseguiti con strumenti tracciabili. Il Tesoriere adotta un piano dei conti che distingue analiticamente i corrispettivi specifici dei corsi didattici dai proventi del punto di ristoro e dalle entrate istituzionali. Per le micro-entrate del punto di ristoro, il Tesoriere effettua la quadratura giornaliera della cassa trascrivendo tempestivamente i dati su registri di prima nota (anche digitali, purché dotati di sistemi che ne garantiscano l'immodificabilità e la conservazione a norma per i periodi prescritti). L'eventuale margine è interamente reinvestito nelle finalità istituzionali.</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Garantire la decommercializzazione e la trasparenza fiscale ex art. 148 TUIR e Legge 398/1991, blindando la contabilità da contestazioni di promiscuità o accertamenti induttivi.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Analiticità e documentazione rigorosa dei rimborsi spese ai volontari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I rimborsi spesa riconosciuti ai volontari ai sensi dell'art. 29 del D.Lgs. 36/2021 devono essere esclusivamente analitici, riferiti a trasferte fuori dal territorio comunale e rigorosamente supportati da pezze d'appoggio originali e intestate all'ASD. È tassativamente vietato qualsiasi rimborso forfettario.</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Prevenire la riqualificazione fiscale dei rimborsi in compensi imponibili mascherati, tutelando l'associazione e il volontario da sanzioni e garantendo la trasparenza amministrativa.</w:t>
            </w:r>
          </w:p>
        </w:tc>
      </w:tr>
    </w:tbl>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before="450" w:lineRule="auto"/>
        <w:rPr/>
      </w:pPr>
      <w:r w:rsidDel="00000000" w:rsidR="00000000" w:rsidRPr="00000000">
        <w:rPr>
          <w:rtl w:val="0"/>
        </w:rPr>
        <w:t xml:space="preserve">4. Gestione di Ospiti, Accompagnatori e Genitori</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5616"/>
        <w:gridCol w:w="3744"/>
        <w:tblGridChange w:id="0">
          <w:tblGrid>
            <w:gridCol w:w="5616"/>
            <w:gridCol w:w="3744"/>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ind w:left="0" w:right="0" w:firstLine="0"/>
              <w:rPr>
                <w:color w:val="2d3748"/>
                <w:shd w:fill="auto" w:val="clear"/>
                <w:vertAlign w:val="baseline"/>
              </w:rPr>
            </w:pPr>
            <w:r w:rsidDel="00000000" w:rsidR="00000000" w:rsidRPr="00000000">
              <w:rPr>
                <w:color w:val="2d3748"/>
                <w:shd w:fill="auto" w:val="clear"/>
                <w:vertAlign w:val="baseline"/>
                <w:rtl w:val="0"/>
              </w:rPr>
              <w:t xml:space="preserve">Regola Associativa</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Perché (Ratio)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Limitazione degli accessi alle aree operative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Insistendo sulle aree del campo di tiro, l'accesso è riservato ai soci tesserati. Gli accompagnatori e i genitori dos minori possono accedere all'area sociale esclusivamente sostando nelle zone di sicurezza delimitate (club-house e aree di attesa). È severamente vietato ai non tesserati l'accesso alla linea di tiro, alle piazzole e alle zone di recupero frecce durante l'attività sportiva.</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Prevenire l'intrusione di persone non formate e non assicurate nelle zone operative a rischio di impatto con le frecce, tutelando l'incolumità dei visitatori e la sicurezza delle sessioni di tiro.</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vertAlign w:val="baseline"/>
              </w:rPr>
            </w:pPr>
            <w:r w:rsidDel="00000000" w:rsidR="00000000" w:rsidRPr="00000000">
              <w:rPr>
                <w:b w:val="1"/>
                <w:bCs w:val="1"/>
                <w:vertAlign w:val="baseline"/>
                <w:rtl w:val="0"/>
              </w:rPr>
              <w:t xml:space="preserve">Obbligo di sorveglianza sui minori e rappresentanza genitoriale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Rule="auto"/>
              <w:ind w:left="0" w:right="0" w:firstLine="0"/>
              <w:rPr>
                <w:vertAlign w:val="baseline"/>
              </w:rPr>
            </w:pPr>
            <w:r w:rsidDel="00000000" w:rsidR="00000000" w:rsidRPr="00000000">
              <w:rPr>
                <w:vertAlign w:val="baseline"/>
                <w:rtl w:val="0"/>
              </w:rPr>
              <w:t xml:space="preserve">I genitori o gli esercenti la responsabilità genitoriale che sottoscrivono la domanda d'ammissione per i soci minorenni esercitano in loro vece i diritti associativi e sono tenuti alla sorveglianza diretta al di fuori dell'orario di lezione o allenamento ufficiale gestito dai tecnici. L'Associazione declina ogni responsabilità per infortuni o danni subiti da soggetti non tesserati o che non rispettino le regole di sicurezza.</w:t>
            </w:r>
          </w:p>
        </w:tc>
        <w:tc>
          <w:tcPr>
            <w:tcBorders>
              <w:top w:color="cbd5e0" w:space="0" w:sz="6" w:val="single"/>
              <w:left w:color="cbd5e0" w:space="0" w:sz="6" w:val="single"/>
              <w:bottom w:color="cbd5e0" w:space="0" w:sz="6" w:val="single"/>
              <w:right w:color="cbd5e0" w:space="0" w:sz="6" w:val="single"/>
            </w:tcBorders>
            <w:shd w:fill="f8fafc" w:val="clear"/>
            <w:tcMar>
              <w:top w:w="180.0" w:type="dxa"/>
              <w:left w:w="180.0" w:type="dxa"/>
              <w:bottom w:w="18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Rule="auto"/>
              <w:ind w:left="0" w:right="0" w:firstLine="0"/>
              <w:rPr>
                <w:color w:val="4a5568"/>
                <w:sz w:val="30"/>
                <w:szCs w:val="30"/>
                <w:shd w:fill="auto" w:val="clear"/>
                <w:vertAlign w:val="baseline"/>
              </w:rPr>
            </w:pPr>
            <w:r w:rsidDel="00000000" w:rsidR="00000000" w:rsidRPr="00000000">
              <w:rPr>
                <w:color w:val="4a5568"/>
                <w:sz w:val="30"/>
                <w:szCs w:val="30"/>
                <w:shd w:fill="auto" w:val="clear"/>
                <w:vertAlign w:val="baseline"/>
                <w:rtl w:val="0"/>
              </w:rPr>
              <w:t xml:space="preserve">Delimitare chiaramente le responsabilità di custodia e di rappresentanza giuridica tra i tecnici sportivi (durante le ore di lezione) e la famiglia, prevenendo contenziosi e responsabilizzando gli accompagnatori.</w:t>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a5568"/>
          <w:sz w:val="30"/>
          <w:szCs w:val="30"/>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sz w:val="22"/>
        <w:szCs w:val="22"/>
      </w:rPr>
    </w:rPrDefault>
    <w:pPrDefault>
      <w:pPr>
        <w:widowControl w:val="0"/>
        <w:spacing w:after="600" w:before="600" w:line="300" w:lineRule="auto"/>
        <w:ind w:left="600" w:right="6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90" w:before="240" w:lineRule="auto"/>
      <w:ind w:left="0" w:right="0" w:firstLine="0"/>
    </w:pPr>
    <w:rPr>
      <w:b w:val="1"/>
      <w:bCs w:val="1"/>
      <w:i w:val="0"/>
      <w:iCs w:val="0"/>
      <w:color w:val="1a365d"/>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color w:val="1a365d"/>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1a365d"/>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