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 DELLA COMPAGNIA ARCIERI CASTEL VISCARDO B.A.S. (A.S.D.)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50" w:before="0" w:lineRule="auto"/>
        <w:ind w:left="0" w:right="0" w:firstLine="0"/>
        <w:jc w:val="both"/>
        <w:rPr>
          <w:b w:val="1"/>
          <w:bCs w:val="1"/>
          <w:sz w:val="20"/>
          <w:szCs w:val="20"/>
        </w:rPr>
      </w:pPr>
      <w:r w:rsidDel="00000000" w:rsidR="00000000" w:rsidRPr="00000000">
        <w:pict>
          <v:rect style="width:0.0pt;height:1.5pt" o:hr="t" o:hrstd="t" o:hralign="center" fillcolor="#A0A0A0" stroked="f"/>
        </w:pict>
      </w:r>
      <w:r w:rsidDel="00000000" w:rsidR="00000000" w:rsidRPr="00000000">
        <w:rPr>
          <w:b w:val="1"/>
          <w:bCs w:val="1"/>
          <w:sz w:val="20"/>
          <w:szCs w:val="20"/>
          <w:rtl w:val="0"/>
        </w:rPr>
        <w:t xml:space="preserve">TESTO COORDINATO E AGGIORNATO (VERSIONE V18 DEFINITIVA)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TITOLO I — Denominazione, Sede, Scopo</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Rule="auto"/>
        <w:ind w:left="0" w:right="0" w:firstLine="0"/>
        <w:rPr/>
      </w:pPr>
      <w:r w:rsidDel="00000000" w:rsidR="00000000" w:rsidRPr="00000000">
        <w:rPr>
          <w:rtl w:val="0"/>
        </w:rPr>
        <w:t xml:space="preserve">Art. 1 – Denominazione, Sede e Durata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1. La Base Associativa Sportiva denominata "Compagnia Arcieri Castel Viscardo B.A.S." (di seguito "Associazione"), costituita il 24 luglio 2024 ai sensi degli artt. 36 e seguenti del Codice civile, è un'associazione senza scopo di lucro, democratica e apartitica. Essa adotta il presente statuto in sostituzione di quello approvato con l'atto costitutivo. La denominazione è usata in ogni atto e comunicazione rivolta a terzi.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2. L'Associazione ha sede legale presso SS 107 Campo di tiro "Franco Cortignani", località Macchietto, Viceno, 05014 Castel Viscardo (TR). Il trasferimento della sede all'interno dello stesso Comune è deliberato dal Consiglio Direttivo e non costituisce modifica statutaria.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3. La durata dell'Associazione è illimitata.</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300" w:before="0" w:lineRule="auto"/>
        <w:rPr>
          <w:sz w:val="20"/>
          <w:szCs w:val="2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Rule="auto"/>
        <w:ind w:left="0" w:right="0" w:firstLine="0"/>
        <w:rPr/>
      </w:pPr>
      <w:r w:rsidDel="00000000" w:rsidR="00000000" w:rsidRPr="00000000">
        <w:rPr>
          <w:rtl w:val="0"/>
        </w:rPr>
        <w:t xml:space="preserve">Art. 2 – Ordinamento sportivo e affiliazione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1. L'Associazione si conforma alle norme e alle direttive del CIO, del CONI, del CIP e agli statuti e regolamenti delle Federazioni sportive nazionali, delle Discipline sportive associate e degli Enti di promozione sportiva cui si affilia.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2. L'affiliazione è deliberata dal Consiglio Direttivo. L'Associazione si affilia al CSEN Centro Sportivo Educativo Nazionale, Ente di promozione sportiva riconosciuto dal CONI, e può affiliarsi ad altri enti dell'ordinamento sportivo.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3. L'Associazione e i suoi soci si impegnano a rispettare gli statuti, i regolamenti e i provvedimenti disciplinari degli organi competenti degli enti cui l'Associazione è affiliata, nonché la normativa antidoping e le disposizioni in materia di prevenzione e contrasto alla violenza di genere.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4. La partecipazione a qualsiasi attività associativa, agonistica, didattica e promozionale all'interno degli impianti e delle aree in gestione alla Compagnia è subordinata al preventivo tesseramento annuale all'Ente di Promozione Sportiva (CSEN) o alle Federazioni di riferimento, condizione essenziale per l'efficacia delle coperture assicurative RCT e infortuni.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5. L'Associazione chiede l'iscrizione nel Registro nazionale delle attività sportive dilettantistiche (RASD), operando esclusivamente quale associazione sportiva dilettantistica pura ai sensi del D.Lgs. 28 febbraio 2021, n. 36, con espressa esclusione di qualsiasi adesione o riferimento al Terzo Settore (RUNTS). Con l'iscrizione assume la denominazione "Compagnia Arcieri Castel Viscardo Associazione Sportiva Dilettantistica", in forma abbreviata "Compagnia Arcieri Castel Viscardo A.S.D.".</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300" w:before="0" w:lineRule="auto"/>
        <w:rPr>
          <w:sz w:val="20"/>
          <w:szCs w:val="2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Rule="auto"/>
        <w:ind w:left="0" w:right="0" w:firstLine="0"/>
        <w:rPr/>
      </w:pPr>
      <w:r w:rsidDel="00000000" w:rsidR="00000000" w:rsidRPr="00000000">
        <w:rPr>
          <w:rtl w:val="0"/>
        </w:rPr>
        <w:t xml:space="preserve">Art. 3 – Scopo e oggetto sociale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1. L'Associazione è apolitica e aconfessionale, ha struttura democratica e non discrimina in base a sesso, origine, religione, opinioni, condizioni personali e sociali.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2. L'Associazione ha per oggetto l'esercizio in via stabile e principale dell'organizzazione e gestione di attività sportive dilettantistiche, in particolare del tiro con l'arco in tutte le sue specialità e delle discipline collegate, comprese la formazione, la didattica, la preparazione e l'assistenza all'attività sportiva dilettantistica.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3. Per realizzare il proprio oggetto l'Associazione organizza corsi, allenamenti, gare, manifestazioni ed eventi promozionali; partecipa a competizioni; gestisce impianti e attrezzature sportive conformi e omologati secondo le direttive federali ed EPS, anche in convenzione; promuove la formazione di tecnici, istruttori e ufficiali di gara qualificati. L'attività didattica e di avviamento al tiro con l'arco all'interno degli impianti è affidata in via esclusiva a tecnici e istruttori in possesso di qualifica riconosciuta dall'ordinamento sportivo (SNaQ / CONI / EPS).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4. L'Associazione può esercitare attività diverse da quelle istituzionali, purché secondarie e strumentali rispetto a queste, nei limiti previsti dalla legge e dall'art. 9 del D.Lgs. 36/2021. Le attività diverse comprendono la raccolta fondi, le sponsorizzazioni e la gestione di un punto di ristoro rigorosamente riservato ai soci e tesserati. L'eventuale margine economico generato dalle attività diverse è interamente reinvestito nello svolgimento dell'attività istituzionale.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5. L'Associazione può aderire ad altri enti e stipulare convenzioni con enti pubblici e privati per il perseguimento del proprio oggetto.</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450" w:before="0" w:lineRule="auto"/>
        <w:rPr>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Rule="auto"/>
        <w:ind w:left="0" w:right="0" w:firstLine="0"/>
        <w:rPr/>
      </w:pPr>
      <w:r w:rsidDel="00000000" w:rsidR="00000000" w:rsidRPr="00000000">
        <w:rPr>
          <w:rtl w:val="0"/>
        </w:rPr>
        <w:t xml:space="preserve">Art. 4 – Assenza di scopo di lucro e gratuità delle cariche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1. Gli eventuali utili e avanzi di gestione sono destinati esclusivamente allo svolgimento dell'attività statutaria o all'incremento del patrimonio.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2. È vietata la distribuzione, anche indiretta, di utili, avanzi di gestione, fondi, riserve o capitale a soci, amministratori, componenti degli organi sociali, volontari e collaboratori, anche in caso di recesso o di ogni altra ipotesi di scioglimento individuale del rapporto associativo, salvo che la destinazione o la distribuzione siano imposte dalla legge.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3. Le cariche associative e direttive sono svolte a titolo gratuito, fatto salvo il diritto al rimborso delle spese effettivamente sostenute e documentate per l'attività prestata, nei limiti stabiliti dalla legge e dal Consiglio Direttivo, nonché la corresponsione di compensi per lavoro sportivo o collaborazioni coordinate e continuative nei rigorosi limiti previsti dall'art. 9 e dall'art. 29 del D.Lgs. 36/2021.</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TITOLO II — Soci</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Rule="auto"/>
        <w:ind w:left="0" w:right="0" w:firstLine="0"/>
        <w:rPr/>
      </w:pPr>
      <w:r w:rsidDel="00000000" w:rsidR="00000000" w:rsidRPr="00000000">
        <w:rPr>
          <w:rtl w:val="0"/>
        </w:rPr>
        <w:t xml:space="preserve">Art. 5 – Soci, categorie e rappresentanza dei minorenni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1. I soci si distinguono in Fondatori, Ordinari e Giovani. È espressamente esclusa qualsiasi forma di partecipazione temporanea alla vita associativa; la quota e il rapporto associativo sono intrasmissibili e non rivalutabili.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2. Tutti i soci maggiorenni in regola con il tesseramento sociale e federale godono dei medesimi diritti e doveri, inclusi l'elettorato attivo e passivo. I soci minorenni partecipano alle attività secondo le norme federali; fino al compimento della maggiore età l'esercizio dei diritti patrimoniali, associativi e di voto fa capo disgiuntamente agli esercenti la responsabilità genitoriale che hanno sottoscritto la domanda di ammissione (spettando un solo voto per ciascun minore rappresentato ai fini dei quorum assembleari). Al compimento del 18° anno, i soci acquisiscono automaticamente il diritto di voto attivo e passivo senza necessità di nuova domanda o delibera.</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450" w:before="0" w:lineRule="auto"/>
        <w:rPr>
          <w:sz w:val="20"/>
          <w:szCs w:val="2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Rule="auto"/>
        <w:ind w:left="0" w:right="0" w:firstLine="0"/>
        <w:rPr/>
      </w:pPr>
      <w:r w:rsidDel="00000000" w:rsidR="00000000" w:rsidRPr="00000000">
        <w:rPr>
          <w:rtl w:val="0"/>
        </w:rPr>
        <w:t xml:space="preserve">Art. 6 – Ammissione dei soci</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1. L'ammissione a socio è subordinata alla presentazione di domanda scritta e sottoscritta dall'interessato (o dall'esercente la responsabilità genitoriale se minorenne), con l'impegno ad attenersi allo Statuto, al Regolamento Interno e alle disposizioni federali.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2. L'ammissione è deliberata dal Consiglio Direttivo. L'eventuale rigetto della domanda deve essere motivato per iscritto e comunicato all'interessato, il quale ha diritto di presentare ricorso alla prima Assemblea generale utile.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TITOLO III — Organi Sociali e Assemblea</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Rule="auto"/>
        <w:ind w:left="0" w:right="0" w:firstLine="0"/>
        <w:rPr/>
      </w:pPr>
      <w:r w:rsidDel="00000000" w:rsidR="00000000" w:rsidRPr="00000000">
        <w:rPr>
          <w:rtl w:val="0"/>
        </w:rPr>
        <w:t xml:space="preserve">Art. 10 – Assemblea: svolgimento e modalità telematiche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1. L'Assemblea è l'organo sovrano dell'Associazione. Può tenersi in presenza, in via telematica o in modalità mista, purché i sistemi adottati consentano l'identificazione certa dei partecipanti, la partecipazione attiva in tempo reale e la regolarità delle votazioni.</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300" w:before="0" w:lineRule="auto"/>
        <w:rPr>
          <w:sz w:val="20"/>
          <w:szCs w:val="2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Rule="auto"/>
        <w:ind w:left="0" w:right="0" w:firstLine="0"/>
        <w:rPr/>
      </w:pPr>
      <w:r w:rsidDel="00000000" w:rsidR="00000000" w:rsidRPr="00000000">
        <w:rPr>
          <w:rtl w:val="0"/>
        </w:rPr>
        <w:t xml:space="preserve">Art. 13 – Assemblea ordinaria e straordinaria: Quorum e Maggioranze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1. L'Assemblea ordinaria delibera sul rendiconto, sull'attività e sul rinnovo delle cariche sociali a maggioranza dei voti espressi dai presenti (favorevoli e contrari), con esclusione degli astenuti dal computo della maggioranza deliberativa, pur concorrendo questi ultimi al quorum costitutivo.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2. L'Assemblea straordinaria delibera sulle modifiche statutarie con la maggioranza dei due terzi dei presenti (l'astenuto conta come non favorevole).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3. La trasformazione, fusione, scissione e lo scioglimento richiedono la maggioranza qualificata dei tre quarti dei soci con diritto di voto (l'astenuto conta come non favorevole). Le maggioranze qualificate di cui ai commi 2 e 3 si applicano inderogabilmente indipendentemente dal fatto che si tratti di prima o di seconda convocazione.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4. Le elezioni delle cariche sociali avvengono a scrutinio segreto tra i più votati; le schede bianche e nulle sono conteggiate unicamente ai fini della regolarità dello spoglio.</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300" w:before="0" w:lineRule="auto"/>
        <w:rPr>
          <w:sz w:val="20"/>
          <w:szCs w:val="2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Rule="auto"/>
        <w:ind w:left="0" w:right="0" w:firstLine="0"/>
        <w:rPr/>
      </w:pPr>
      <w:r w:rsidDel="00000000" w:rsidR="00000000" w:rsidRPr="00000000">
        <w:rPr>
          <w:rtl w:val="0"/>
        </w:rPr>
        <w:t xml:space="preserve">Art. 14 – Consiglio Direttivo, Durata e Obblighi di Comunicazione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1. Il Consiglio Direttivo è composto da 3 a 5 membri, dura in carica quattro anni ed è validamente costituito con la presenza della maggioranza dei componenti.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2. Qualsiasi variazione nella composizione del Consiglio Direttivo, del Presidente o dei dati statutari deve essere tempestivamente comunicata (e comunque entro i termini perentori di 30 giorni) agli enti di affiliazione e registrata sul portale telematico RASD ai sensi del D.Lgs. 36/2021, al fine di garantire la continuità delle agevolazioni e la validità delle certificazioni di vigenza.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3. Il Consiglio Direttivo può deliberare anche mediante consultazione telematica asincrona, garantendo la tracciabilità dei voti e la verbalizzazione tempestiva nel libro dei verbali con marcatura temporale certa.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4. Per la delibera di esclusione di un socio è richiesta la maggioranza assoluta dei componenti in carica; l'astenuto è equiparato al voto contrario.</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450" w:before="0" w:lineRule="auto"/>
        <w:rPr>
          <w:sz w:val="20"/>
          <w:szCs w:val="2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Rule="auto"/>
        <w:ind w:left="0" w:right="0" w:firstLine="0"/>
        <w:rPr/>
      </w:pPr>
      <w:r w:rsidDel="00000000" w:rsidR="00000000" w:rsidRPr="00000000">
        <w:rPr>
          <w:rtl w:val="0"/>
        </w:rPr>
        <w:t xml:space="preserve">Art. 18 – Segretario e Tesoriere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1. I ruoli, i compiti operativi e le procedure di spesa, comunicazione e verbalizzazione del Segretario e del Tesoriere sono dettagliati nel Regolamento Interno.</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TITOLO IV — Patrimonio, Rendiconto e Libri Sociali</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Rule="auto"/>
        <w:ind w:left="0" w:right="0" w:firstLine="0"/>
        <w:rPr/>
      </w:pPr>
      <w:r w:rsidDel="00000000" w:rsidR="00000000" w:rsidRPr="00000000">
        <w:rPr>
          <w:rtl w:val="0"/>
        </w:rPr>
        <w:t xml:space="preserve">Art. 20 e 21 – Patrimonio, Rendiconto e Tracciabilità finanziaria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1. Il patrimonio è costituito da beni mobili e immobili, contributi e proventi. Tutti i pagamenti afferenti a quote associative, corrispettivi specifici e liberalità devono essere eseguiti mediante strumenti di pagamento tracciabili (bonifici, carte di pagamento, assegni).</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2. Il Consiglio Direttivo redige il rendiconto economico-finanziario adottando un piano dei conti che distingue nettamente le entrate istituzionali da quelle commerciali e diverse.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450" w:before="0" w:lineRule="auto"/>
        <w:rPr>
          <w:sz w:val="20"/>
          <w:szCs w:val="2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Rule="auto"/>
        <w:ind w:left="0" w:right="0" w:firstLine="0"/>
        <w:rPr/>
      </w:pPr>
      <w:r w:rsidDel="00000000" w:rsidR="00000000" w:rsidRPr="00000000">
        <w:rPr>
          <w:rtl w:val="0"/>
        </w:rPr>
        <w:t xml:space="preserve">Art. 22 – Libri Sociali Informatici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1. I libri sociali e le scritture contabili possono essere tenuti in formato elettronico o informatico, mediante sistemi che garantiscano l'integrità dei dati, la loro immodificabilità, la tracciabilità temporale e la conformità al GDPR.</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TITOLO V — Norme Finali e Riferimenti</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Rule="auto"/>
        <w:ind w:left="0" w:right="0" w:firstLine="0"/>
        <w:rPr/>
      </w:pPr>
      <w:r w:rsidDel="00000000" w:rsidR="00000000" w:rsidRPr="00000000">
        <w:rPr>
          <w:rtl w:val="0"/>
        </w:rPr>
        <w:t xml:space="preserve">Art. 24 – Regolamento Interno e Partecipazione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1. Il Regolamento Interno disciplina gli aspetti operativi, tecnici, di sicurezza del campo di tiro, di omologazione degli impianti e di dettaglio amministrativo, senza poter derogare ai principi inderogabili dello Statuto. Esso è parte integrante e sostanziale dello Statuto e vincola tutti i tesserati con la medesima forza precettiva sin dal momento dell'ammissione.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300" w:before="0" w:lineRule="auto"/>
        <w:rPr>
          <w:sz w:val="20"/>
          <w:szCs w:val="2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Rule="auto"/>
        <w:ind w:left="0" w:right="0" w:firstLine="0"/>
        <w:rPr/>
      </w:pPr>
      <w:r w:rsidDel="00000000" w:rsidR="00000000" w:rsidRPr="00000000">
        <w:rPr>
          <w:rtl w:val="0"/>
        </w:rPr>
        <w:t xml:space="preserve">Art. 28 – Scioglimento e Devoluzione del Patrimonio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1. Lo scioglimento è deliberato dall'Assemblea straordinaria con la maggioranza qualificata dei tre quarti dei soci aventi diritto. Il patrimonio residuo sarà devoluto obbligatoriamente ad altra associazione sportiva dilettantistica con finalità analoghe o a fini di pubblica utilità, sentito l'organismo di controllo o l'ente di affiliazione, con espresso e assoluto divieto di qualsiasi ripartizione o rimborso a favore dei soci.</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300" w:before="0" w:lineRule="auto"/>
        <w:rPr>
          <w:sz w:val="20"/>
          <w:szCs w:val="2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Rule="auto"/>
        <w:ind w:left="0" w:right="0" w:firstLine="0"/>
        <w:rPr/>
      </w:pPr>
      <w:r w:rsidDel="00000000" w:rsidR="00000000" w:rsidRPr="00000000">
        <w:rPr>
          <w:rtl w:val="0"/>
        </w:rPr>
        <w:t xml:space="preserve">Art. 29 e 30 – Controversie e Norme Finali</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1. Le controversie in materia sportiva e disciplinare interna (in particolare relative alla sicurezza attiva e all'uso del campo di tiro) sono devolute agli organi competenti dell'Associazione e agli organi di giustizia dell'ente di affiliazione, garantendo l'immediata esecutività dei provvedimenti a tutela dell'incolumità pubblica.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2. Per quanto non espressamente previsto dal presente statuto si applicano le norme del Codice civile, del D.Lgs. 36/2021, del D.Lgs. 39/2021 e le disposizioni fiscali vigenti per gli enti non commerciali e le ASD.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2"/>
        <w:szCs w:val="22"/>
      </w:rPr>
    </w:rPrDefault>
    <w:pPrDefault>
      <w:pPr>
        <w:widowControl w:val="0"/>
        <w:spacing w:after="600" w:before="600" w:line="335.9999942779541"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90" w:before="240" w:lineRule="auto"/>
      <w:ind w:left="0" w:right="0" w:firstLine="0"/>
    </w:pPr>
    <w:rPr>
      <w:b w:val="1"/>
      <w:bCs w:val="1"/>
      <w:i w:val="0"/>
      <w:iCs w:val="0"/>
      <w:color w:val="1a365d"/>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00" w:before="450" w:lineRule="auto"/>
      <w:ind w:left="0" w:right="0" w:firstLine="0"/>
    </w:pPr>
    <w:rPr>
      <w:b w:val="1"/>
      <w:bCs w:val="1"/>
      <w:i w:val="0"/>
      <w:iCs w:val="0"/>
      <w:color w:val="1a365d"/>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1a365d"/>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