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08CC" w:rsidRDefault="009C08CC" w:rsidP="00433CE6">
      <w:pPr>
        <w:pStyle w:val="Titolo1"/>
        <w:spacing w:before="0" w:after="240"/>
        <w:rPr>
          <w:rFonts w:cstheme="majorHAnsi"/>
          <w:sz w:val="32"/>
          <w:szCs w:val="32"/>
        </w:rPr>
      </w:pPr>
      <w:bookmarkStart w:id="0" w:name="_Toc243302953"/>
      <w:r>
        <w:rPr>
          <w:rFonts w:cstheme="majorHAnsi"/>
          <w:sz w:val="32"/>
          <w:szCs w:val="32"/>
        </w:rPr>
        <w:t>REGOLAMENTO INTERNO</w:t>
      </w:r>
      <w:bookmarkEnd w:id="0"/>
    </w:p>
    <w:p w:rsidR="00DF5646" w:rsidRPr="00D46BBF" w:rsidRDefault="00DF5646" w:rsidP="00DF5646">
      <w:pPr>
        <w:pBdr>
          <w:top w:val="single" w:sz="4" w:space="1" w:color="D9D9D9" w:themeColor="background1" w:themeShade="D9"/>
        </w:pBdr>
        <w:spacing w:before="240" w:after="0"/>
        <w:rPr>
          <w:rFonts w:asciiTheme="majorHAnsi" w:hAnsiTheme="majorHAnsi" w:cstheme="majorHAnsi"/>
          <w:b/>
          <w:bCs/>
          <w:sz w:val="24"/>
          <w:szCs w:val="24"/>
        </w:rPr>
      </w:pPr>
      <w:r>
        <w:rPr>
          <w:rFonts w:asciiTheme="majorHAnsi" w:hAnsiTheme="majorHAnsi" w:cstheme="majorHAnsi"/>
          <w:b/>
          <w:bCs/>
          <w:sz w:val="24"/>
          <w:szCs w:val="24"/>
        </w:rPr>
        <w:t xml:space="preserve">Approvato dall'Assemblea dei soci il __/__/____ (versione 1.1), ai sensi dell'art. 28 dello statuto</w:t>
      </w:r>
    </w:p>
    <w:p w:rsidR="00DF5646" w:rsidRPr="00D46BBF" w:rsidRDefault="00DF5646" w:rsidP="00DF5646">
      <w:pPr>
        <w:pBdr>
          <w:bottom w:val="single" w:sz="4" w:space="1" w:color="D9D9D9" w:themeColor="background1" w:themeShade="D9"/>
        </w:pBdr>
        <w:spacing w:before="240" w:after="360"/>
        <w:ind w:left="227" w:right="227"/>
        <w:jc w:val="both"/>
        <w:rPr>
          <w:rFonts w:asciiTheme="majorHAnsi" w:hAnsiTheme="majorHAnsi" w:cstheme="majorHAnsi"/>
          <w:i/>
          <w:iCs/>
          <w:sz w:val="24"/>
          <w:shd w:val="clear" w:color="auto" w:fill="EDF2F7"/>
        </w:rPr>
      </w:pPr>
      <w:r>
        <w:rPr>
          <w:rFonts w:asciiTheme="majorHAnsi" w:hAnsiTheme="majorHAnsi" w:cstheme="majorHAnsi"/>
          <w:i/>
          <w:iCs/>
          <w:sz w:val="24"/>
          <w:shd w:val="clear" w:color="auto" w:fill="EDF2F7"/>
        </w:rPr>
        <w:t>Il presente Regolamento adotta una struttura basata sull'enunciazione della regola associativa accompagnata dall'esplicita motivazione (ratio) che la giustifica, al fine di favorire la piena consapevolezza e la condivisione delle norme di convivenza, sicurezza e gestione da parte di tutti i soci.</w:t>
      </w:r>
    </w:p>
    <w:sdt>
      <w:sdtPr>
        <w:rPr>
          <w:rFonts w:asciiTheme="minorHAnsi" w:eastAsiaTheme="minorEastAsia" w:hAnsiTheme="minorHAnsi" w:cstheme="minorBidi"/>
          <w:b w:val="0"/>
          <w:bCs w:val="0"/>
          <w:sz w:val="22"/>
          <w:szCs w:val="22"/>
        </w:rPr>
        <w:id w:val="-265610874"/>
        <w:docPartObj>
          <w:docPartGallery w:val="Table of Contents"/>
          <w:docPartUnique/>
        </w:docPartObj>
      </w:sdtPr>
      <w:sdtEndPr/>
      <w:sdtContent>
        <w:p w:rsidR="00D46BBF" w:rsidRDefault="00D46BBF" w:rsidP="00D46BBF">
          <w:pPr>
            <w:pStyle w:val="Titolosommario"/>
            <w:spacing w:after="240"/>
            <w:jc w:val="left"/>
          </w:pPr>
          <w:r>
            <w:t>Indice</w:t>
          </w:r>
        </w:p>
        <w:p w:rsidR="00433CE6" w:rsidRPr="00433CE6" w:rsidRDefault="00D46BBF">
          <w:pPr>
            <w:pStyle w:val="Sommario1"/>
            <w:rPr>
              <w:b w:val="0"/>
              <w:lang w:eastAsia="it-IT"/>
            </w:rPr>
          </w:pPr>
          <w:r>
            <w:fldChar w:fldCharType="begin"/>
            <w:instrText xml:space="preserve"> TOC \o "1-3" \h \z \u </w:instrText>
            <w:fldChar w:fldCharType="separate"/>
          </w:r>
          <w:hyperlink w:anchor="_Toc243302953" w:history="1">
            <w:r>
              <w:rPr>
                <w:rStyle w:val="Collegamentoipertestuale"/>
              </w:rPr>
              <w:t>REGOLAMENTO INTERNO</w:t>
            </w:r>
            <w:r>
              <w:rPr>
                <w:webHidden/>
              </w:rPr>
              <w:tab/>
              <w:fldChar w:fldCharType="begin"/>
              <w:instrText xml:space="preserve"> PAGEREF _Toc243302953 \h </w:instrText>
              <w:fldChar w:fldCharType="separate"/>
              <w:t>1</w:t>
              <w:fldChar w:fldCharType="end"/>
            </w:r>
          </w:hyperlink>
        </w:p>
        <w:p w:rsidR="00433CE6" w:rsidRPr="00433CE6" w:rsidRDefault="00C84CD7" w:rsidP="00433CE6">
          <w:pPr>
            <w:pStyle w:val="Sommario2"/>
            <w:rPr>
              <w:lang w:eastAsia="it-IT"/>
            </w:rPr>
          </w:pPr>
          <w:hyperlink w:anchor="_Toc900005001" w:history="1">
            <w:r>
              <w:rPr>
                <w:rStyle w:val="Collegamentoipertestuale"/>
              </w:rPr>
              <w:t xml:space="preserve">1.</w:t>
            </w:r>
            <w:r>
              <w:rPr>
                <w:lang w:eastAsia="it-IT"/>
              </w:rPr>
              <w:tab/>
            </w:r>
            <w:r>
              <w:rPr>
                <w:rStyle w:val="Collegamentoipertestuale"/>
              </w:rPr>
              <w:t xml:space="preserve">Gestione delle Strutture del Campo e Deposito Materiale</w:t>
            </w:r>
            <w:r>
              <w:rPr>
                <w:webHidden/>
              </w:rPr>
              <w:tab/>
              <w:fldChar w:fldCharType="begin"/>
              <w:instrText xml:space="preserve"> PAGEREF _Toc900005001 \h </w:instrText>
              <w:fldChar w:fldCharType="separate"/>
              <w:t>3</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02" w:history="1">
            <w:r>
              <w:rPr>
                <w:rStyle w:val="Collegamentoipertestuale"/>
                <w:rFonts w:asciiTheme="majorHAnsi" w:hAnsiTheme="majorHAnsi" w:cstheme="majorHAnsi"/>
                <w:noProof/>
              </w:rPr>
              <w:t xml:space="preserve">Accesso al campo di tiro</w:t>
            </w:r>
            <w:r>
              <w:rPr>
                <w:rFonts w:asciiTheme="majorHAnsi" w:hAnsiTheme="majorHAnsi" w:cstheme="majorHAnsi"/>
                <w:noProof/>
                <w:webHidden/>
              </w:rPr>
              <w:tab/>
              <w:fldChar w:fldCharType="begin"/>
              <w:instrText xml:space="preserve"> PAGEREF _Toc900005002 \h </w:instrText>
              <w:fldChar w:fldCharType="separate"/>
              <w:t>3</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03" w:history="1">
            <w:r>
              <w:rPr>
                <w:rStyle w:val="Collegamentoipertestuale"/>
                <w:rFonts w:asciiTheme="majorHAnsi" w:hAnsiTheme="majorHAnsi" w:cstheme="majorHAnsi"/>
                <w:noProof/>
              </w:rPr>
              <w:t xml:space="preserve">Deposito dell'attrezzatura sociale e personale</w:t>
            </w:r>
            <w:r>
              <w:rPr>
                <w:rFonts w:asciiTheme="majorHAnsi" w:hAnsiTheme="majorHAnsi" w:cstheme="majorHAnsi"/>
                <w:noProof/>
                <w:webHidden/>
              </w:rPr>
              <w:tab/>
              <w:fldChar w:fldCharType="begin"/>
              <w:instrText xml:space="preserve"> PAGEREF _Toc900005003 \h </w:instrText>
              <w:fldChar w:fldCharType="separate"/>
              <w:t>3</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04" w:history="1">
            <w:r>
              <w:rPr>
                <w:rStyle w:val="Collegamentoipertestuale"/>
                <w:rFonts w:asciiTheme="majorHAnsi" w:hAnsiTheme="majorHAnsi" w:cstheme="majorHAnsi"/>
                <w:noProof/>
              </w:rPr>
              <w:t xml:space="preserve">Rispetto e salvaguardia delle dotazioni</w:t>
            </w:r>
            <w:r>
              <w:rPr>
                <w:rFonts w:asciiTheme="majorHAnsi" w:hAnsiTheme="majorHAnsi" w:cstheme="majorHAnsi"/>
                <w:noProof/>
                <w:webHidden/>
              </w:rPr>
              <w:tab/>
              <w:fldChar w:fldCharType="begin"/>
              <w:instrText xml:space="preserve"> PAGEREF _Toc900005004 \h </w:instrText>
              <w:fldChar w:fldCharType="separate"/>
              <w:t>3</w:t>
              <w:fldChar w:fldCharType="end"/>
            </w:r>
          </w:hyperlink>
        </w:p>
        <w:p w:rsidR="00433CE6" w:rsidRPr="00433CE6" w:rsidRDefault="00C84CD7" w:rsidP="00433CE6">
          <w:pPr>
            <w:pStyle w:val="Sommario2"/>
            <w:rPr>
              <w:lang w:eastAsia="it-IT"/>
            </w:rPr>
          </w:pPr>
          <w:hyperlink w:anchor="_Toc900005005" w:history="1">
            <w:r>
              <w:rPr>
                <w:rStyle w:val="Collegamentoipertestuale"/>
              </w:rPr>
              <w:t xml:space="preserve">2.</w:t>
            </w:r>
            <w:r>
              <w:rPr>
                <w:lang w:eastAsia="it-IT"/>
              </w:rPr>
              <w:tab/>
            </w:r>
            <w:r>
              <w:rPr>
                <w:rStyle w:val="Collegamentoipertestuale"/>
              </w:rPr>
              <w:t xml:space="preserve">Accesso ai Campi di Tiro e Sicurezza sulla Linea di Tiro</w:t>
            </w:r>
            <w:r>
              <w:rPr>
                <w:webHidden/>
              </w:rPr>
              <w:tab/>
              <w:fldChar w:fldCharType="begin"/>
              <w:instrText xml:space="preserve"> PAGEREF _Toc900005005 \h </w:instrText>
              <w:fldChar w:fldCharType="separate"/>
              <w:t>4</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06" w:history="1">
            <w:r>
              <w:rPr>
                <w:rStyle w:val="Collegamentoipertestuale"/>
                <w:rFonts w:asciiTheme="majorHAnsi" w:hAnsiTheme="majorHAnsi" w:cstheme="majorHAnsi"/>
                <w:noProof/>
              </w:rPr>
              <w:t xml:space="preserve">Norme fondamentali di sicurezza attiva</w:t>
            </w:r>
            <w:r>
              <w:rPr>
                <w:rFonts w:asciiTheme="majorHAnsi" w:hAnsiTheme="majorHAnsi" w:cstheme="majorHAnsi"/>
                <w:noProof/>
                <w:webHidden/>
              </w:rPr>
              <w:tab/>
              <w:fldChar w:fldCharType="begin"/>
              <w:instrText xml:space="preserve"> PAGEREF _Toc900005006 \h </w:instrText>
              <w:fldChar w:fldCharType="separate"/>
              <w:t>4</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07" w:history="1">
            <w:r>
              <w:rPr>
                <w:rStyle w:val="Collegamentoipertestuale"/>
                <w:rFonts w:asciiTheme="majorHAnsi" w:hAnsiTheme="majorHAnsi" w:cstheme="majorHAnsi"/>
                <w:noProof/>
              </w:rPr>
              <w:t xml:space="preserve">Divieto di dispositivi acustici isolanti</w:t>
            </w:r>
            <w:r>
              <w:rPr>
                <w:rFonts w:asciiTheme="majorHAnsi" w:hAnsiTheme="majorHAnsi" w:cstheme="majorHAnsi"/>
                <w:noProof/>
                <w:webHidden/>
              </w:rPr>
              <w:tab/>
              <w:fldChar w:fldCharType="begin"/>
              <w:instrText xml:space="preserve"> PAGEREF _Toc900005007 \h </w:instrText>
              <w:fldChar w:fldCharType="separate"/>
              <w:t>4</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08" w:history="1">
            <w:r>
              <w:rPr>
                <w:rStyle w:val="Collegamentoipertestuale"/>
                <w:rFonts w:asciiTheme="majorHAnsi" w:hAnsiTheme="majorHAnsi" w:cstheme="majorHAnsi"/>
                <w:noProof/>
              </w:rPr>
              <w:t xml:space="preserve">Identificazione univoca delle frecce</w:t>
            </w:r>
            <w:r>
              <w:rPr>
                <w:rFonts w:asciiTheme="majorHAnsi" w:hAnsiTheme="majorHAnsi" w:cstheme="majorHAnsi"/>
                <w:noProof/>
                <w:webHidden/>
              </w:rPr>
              <w:tab/>
              <w:fldChar w:fldCharType="begin"/>
              <w:instrText xml:space="preserve"> PAGEREF _Toc900005008 \h </w:instrText>
              <w:fldChar w:fldCharType="separate"/>
              <w:t>4</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09" w:history="1">
            <w:r>
              <w:rPr>
                <w:rStyle w:val="Collegamentoipertestuale"/>
                <w:rFonts w:asciiTheme="majorHAnsi" w:hAnsiTheme="majorHAnsi" w:cstheme="majorHAnsi"/>
                <w:noProof/>
              </w:rPr>
              <w:t xml:space="preserve">Rinvio ai regolamenti tecnici specifici</w:t>
            </w:r>
            <w:r>
              <w:rPr>
                <w:rFonts w:asciiTheme="majorHAnsi" w:hAnsiTheme="majorHAnsi" w:cstheme="majorHAnsi"/>
                <w:noProof/>
                <w:webHidden/>
              </w:rPr>
              <w:tab/>
              <w:fldChar w:fldCharType="begin"/>
              <w:instrText xml:space="preserve"> PAGEREF _Toc900005009 \h </w:instrText>
              <w:fldChar w:fldCharType="separate"/>
              <w:t>5</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10" w:history="1">
            <w:r>
              <w:rPr>
                <w:rStyle w:val="Collegamentoipertestuale"/>
                <w:rFonts w:asciiTheme="majorHAnsi" w:hAnsiTheme="majorHAnsi" w:cstheme="majorHAnsi"/>
                <w:noProof/>
              </w:rPr>
              <w:t xml:space="preserve">Allontanamento immediato e disposizioni urgenti</w:t>
            </w:r>
            <w:r>
              <w:rPr>
                <w:rFonts w:asciiTheme="majorHAnsi" w:hAnsiTheme="majorHAnsi" w:cstheme="majorHAnsi"/>
                <w:noProof/>
                <w:webHidden/>
              </w:rPr>
              <w:tab/>
              <w:fldChar w:fldCharType="begin"/>
              <w:instrText xml:space="preserve"> PAGEREF _Toc900005010 \h </w:instrText>
              <w:fldChar w:fldCharType="separate"/>
              <w:t>5</w:t>
              <w:fldChar w:fldCharType="end"/>
            </w:r>
          </w:hyperlink>
        </w:p>
        <w:p w:rsidR="00433CE6" w:rsidRPr="00433CE6" w:rsidRDefault="00C84CD7" w:rsidP="00433CE6">
          <w:pPr>
            <w:pStyle w:val="Sommario2"/>
            <w:rPr>
              <w:lang w:eastAsia="it-IT"/>
            </w:rPr>
          </w:pPr>
          <w:hyperlink w:anchor="_Toc900005011" w:history="1">
            <w:r>
              <w:rPr>
                <w:rStyle w:val="Collegamentoipertestuale"/>
              </w:rPr>
              <w:t xml:space="preserve">3.</w:t>
            </w:r>
            <w:r>
              <w:rPr>
                <w:lang w:eastAsia="it-IT"/>
              </w:rPr>
              <w:tab/>
            </w:r>
            <w:r>
              <w:rPr>
                <w:rStyle w:val="Collegamentoipertestuale"/>
              </w:rPr>
              <w:t xml:space="preserve">Soci: Ammissione, Quote e Provvedimenti</w:t>
            </w:r>
            <w:r>
              <w:rPr>
                <w:webHidden/>
              </w:rPr>
              <w:tab/>
              <w:fldChar w:fldCharType="begin"/>
              <w:instrText xml:space="preserve"> PAGEREF _Toc900005011 \h </w:instrText>
              <w:fldChar w:fldCharType="separate"/>
              <w:t>6</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12" w:history="1">
            <w:r>
              <w:rPr>
                <w:rStyle w:val="Collegamentoipertestuale"/>
                <w:rFonts w:asciiTheme="majorHAnsi" w:hAnsiTheme="majorHAnsi" w:cstheme="majorHAnsi"/>
                <w:noProof/>
              </w:rPr>
              <w:t xml:space="preserve">Domanda di ammissione</w:t>
            </w:r>
            <w:r>
              <w:rPr>
                <w:rFonts w:asciiTheme="majorHAnsi" w:hAnsiTheme="majorHAnsi" w:cstheme="majorHAnsi"/>
                <w:noProof/>
                <w:webHidden/>
              </w:rPr>
              <w:tab/>
              <w:fldChar w:fldCharType="begin"/>
              <w:instrText xml:space="preserve"> PAGEREF _Toc900005012 \h </w:instrText>
              <w:fldChar w:fldCharType="separate"/>
              <w:t>6</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13" w:history="1">
            <w:r>
              <w:rPr>
                <w:rStyle w:val="Collegamentoipertestuale"/>
                <w:rFonts w:asciiTheme="majorHAnsi" w:hAnsiTheme="majorHAnsi" w:cstheme="majorHAnsi"/>
                <w:noProof/>
              </w:rPr>
              <w:t xml:space="preserve">Voto del Consiglio Direttivo sulle domande</w:t>
            </w:r>
            <w:r>
              <w:rPr>
                <w:rFonts w:asciiTheme="majorHAnsi" w:hAnsiTheme="majorHAnsi" w:cstheme="majorHAnsi"/>
                <w:noProof/>
                <w:webHidden/>
              </w:rPr>
              <w:tab/>
              <w:fldChar w:fldCharType="begin"/>
              <w:instrText xml:space="preserve"> PAGEREF _Toc900005013 \h </w:instrText>
              <w:fldChar w:fldCharType="separate"/>
              <w:t>6</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14" w:history="1">
            <w:r>
              <w:rPr>
                <w:rStyle w:val="Collegamentoipertestuale"/>
                <w:rFonts w:asciiTheme="majorHAnsi" w:hAnsiTheme="majorHAnsi" w:cstheme="majorHAnsi"/>
                <w:noProof/>
              </w:rPr>
              <w:t xml:space="preserve">Quota del nuovo socio</w:t>
            </w:r>
            <w:r>
              <w:rPr>
                <w:rFonts w:asciiTheme="majorHAnsi" w:hAnsiTheme="majorHAnsi" w:cstheme="majorHAnsi"/>
                <w:noProof/>
                <w:webHidden/>
              </w:rPr>
              <w:tab/>
              <w:fldChar w:fldCharType="begin"/>
              <w:instrText xml:space="preserve"> PAGEREF _Toc900005014 \h </w:instrText>
              <w:fldChar w:fldCharType="separate"/>
              <w:t>7</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15" w:history="1">
            <w:r>
              <w:rPr>
                <w:rStyle w:val="Collegamentoipertestuale"/>
                <w:rFonts w:asciiTheme="majorHAnsi" w:hAnsiTheme="majorHAnsi" w:cstheme="majorHAnsi"/>
                <w:noProof/>
              </w:rPr>
              <w:t xml:space="preserve">Quota annuale e sollecito</w:t>
            </w:r>
            <w:r>
              <w:rPr>
                <w:rFonts w:asciiTheme="majorHAnsi" w:hAnsiTheme="majorHAnsi" w:cstheme="majorHAnsi"/>
                <w:noProof/>
                <w:webHidden/>
              </w:rPr>
              <w:tab/>
              <w:fldChar w:fldCharType="begin"/>
              <w:instrText xml:space="preserve"> PAGEREF _Toc900005015 \h </w:instrText>
              <w:fldChar w:fldCharType="separate"/>
              <w:t>7</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16" w:history="1">
            <w:r>
              <w:rPr>
                <w:rStyle w:val="Collegamentoipertestuale"/>
                <w:rFonts w:asciiTheme="majorHAnsi" w:hAnsiTheme="majorHAnsi" w:cstheme="majorHAnsi"/>
                <w:noProof/>
              </w:rPr>
              <w:t xml:space="preserve">Provvedimenti disciplinari</w:t>
            </w:r>
            <w:r>
              <w:rPr>
                <w:rFonts w:asciiTheme="majorHAnsi" w:hAnsiTheme="majorHAnsi" w:cstheme="majorHAnsi"/>
                <w:noProof/>
                <w:webHidden/>
              </w:rPr>
              <w:tab/>
              <w:fldChar w:fldCharType="begin"/>
              <w:instrText xml:space="preserve"> PAGEREF _Toc900005016 \h </w:instrText>
              <w:fldChar w:fldCharType="separate"/>
              <w:t>8</w:t>
              <w:fldChar w:fldCharType="end"/>
            </w:r>
          </w:hyperlink>
        </w:p>
        <w:p w:rsidR="00433CE6" w:rsidRPr="00433CE6" w:rsidRDefault="00C84CD7" w:rsidP="00433CE6">
          <w:pPr>
            <w:pStyle w:val="Sommario2"/>
            <w:rPr>
              <w:lang w:eastAsia="it-IT"/>
            </w:rPr>
          </w:pPr>
          <w:hyperlink w:anchor="_Toc900005017" w:history="1">
            <w:r>
              <w:rPr>
                <w:rStyle w:val="Collegamentoipertestuale"/>
              </w:rPr>
              <w:t xml:space="preserve">4.</w:t>
            </w:r>
            <w:r>
              <w:rPr>
                <w:lang w:eastAsia="it-IT"/>
              </w:rPr>
              <w:tab/>
            </w:r>
            <w:r>
              <w:rPr>
                <w:rStyle w:val="Collegamentoipertestuale"/>
              </w:rPr>
              <w:t xml:space="preserve">Assemblea e Consiglio Direttivo</w:t>
            </w:r>
            <w:r>
              <w:rPr>
                <w:webHidden/>
              </w:rPr>
              <w:tab/>
              <w:fldChar w:fldCharType="begin"/>
              <w:instrText xml:space="preserve"> PAGEREF _Toc900005017 \h </w:instrText>
              <w:fldChar w:fldCharType="separate"/>
              <w:t>8</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18" w:history="1">
            <w:r>
              <w:rPr>
                <w:rStyle w:val="Collegamentoipertestuale"/>
                <w:rFonts w:asciiTheme="majorHAnsi" w:hAnsiTheme="majorHAnsi" w:cstheme="majorHAnsi"/>
                <w:noProof/>
              </w:rPr>
              <w:t xml:space="preserve">Regole di voto e computo degli astenuti nelle delibere</w:t>
            </w:r>
            <w:r>
              <w:rPr>
                <w:rFonts w:asciiTheme="majorHAnsi" w:hAnsiTheme="majorHAnsi" w:cstheme="majorHAnsi"/>
                <w:noProof/>
                <w:webHidden/>
              </w:rPr>
              <w:tab/>
              <w:fldChar w:fldCharType="begin"/>
              <w:instrText xml:space="preserve"> PAGEREF _Toc900005018 \h </w:instrText>
              <w:fldChar w:fldCharType="separate"/>
              <w:t>8</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19" w:history="1">
            <w:r>
              <w:rPr>
                <w:rStyle w:val="Collegamentoipertestuale"/>
                <w:rFonts w:asciiTheme="majorHAnsi" w:hAnsiTheme="majorHAnsi" w:cstheme="majorHAnsi"/>
                <w:noProof/>
              </w:rPr>
              <w:t xml:space="preserve">Convocazione e partecipazione all'Assemblea</w:t>
            </w:r>
            <w:r>
              <w:rPr>
                <w:rFonts w:asciiTheme="majorHAnsi" w:hAnsiTheme="majorHAnsi" w:cstheme="majorHAnsi"/>
                <w:noProof/>
                <w:webHidden/>
              </w:rPr>
              <w:tab/>
              <w:fldChar w:fldCharType="begin"/>
              <w:instrText xml:space="preserve"> PAGEREF _Toc900005019 \h </w:instrText>
              <w:fldChar w:fldCharType="separate"/>
              <w:t>9</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20" w:history="1">
            <w:r>
              <w:rPr>
                <w:rStyle w:val="Collegamentoipertestuale"/>
                <w:rFonts w:asciiTheme="majorHAnsi" w:hAnsiTheme="majorHAnsi" w:cstheme="majorHAnsi"/>
                <w:noProof/>
              </w:rPr>
              <w:t xml:space="preserve">Scrutatori e voto segreto</w:t>
            </w:r>
            <w:r>
              <w:rPr>
                <w:rFonts w:asciiTheme="majorHAnsi" w:hAnsiTheme="majorHAnsi" w:cstheme="majorHAnsi"/>
                <w:noProof/>
                <w:webHidden/>
              </w:rPr>
              <w:tab/>
              <w:fldChar w:fldCharType="begin"/>
              <w:instrText xml:space="preserve"> PAGEREF _Toc900005020 \h </w:instrText>
              <w:fldChar w:fldCharType="separate"/>
              <w:t>9</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21" w:history="1">
            <w:r>
              <w:rPr>
                <w:rStyle w:val="Collegamentoipertestuale"/>
                <w:rFonts w:asciiTheme="majorHAnsi" w:hAnsiTheme="majorHAnsi" w:cstheme="majorHAnsi"/>
                <w:noProof/>
              </w:rPr>
              <w:t xml:space="preserve">Convocazione delle riunioni del Consiglio Direttivo</w:t>
            </w:r>
            <w:r>
              <w:rPr>
                <w:rFonts w:asciiTheme="majorHAnsi" w:hAnsiTheme="majorHAnsi" w:cstheme="majorHAnsi"/>
                <w:noProof/>
                <w:webHidden/>
              </w:rPr>
              <w:tab/>
              <w:fldChar w:fldCharType="begin"/>
              <w:instrText xml:space="preserve"> PAGEREF _Toc900005021 \h </w:instrText>
              <w:fldChar w:fldCharType="separate"/>
              <w:t>10</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22" w:history="1">
            <w:r>
              <w:rPr>
                <w:rStyle w:val="Collegamentoipertestuale"/>
                <w:rFonts w:asciiTheme="majorHAnsi" w:hAnsiTheme="majorHAnsi" w:cstheme="majorHAnsi"/>
                <w:noProof/>
              </w:rPr>
              <w:t xml:space="preserve">Consultazione telematica del Consiglio Direttivo</w:t>
            </w:r>
            <w:r>
              <w:rPr>
                <w:rFonts w:asciiTheme="majorHAnsi" w:hAnsiTheme="majorHAnsi" w:cstheme="majorHAnsi"/>
                <w:noProof/>
                <w:webHidden/>
              </w:rPr>
              <w:tab/>
              <w:fldChar w:fldCharType="begin"/>
              <w:instrText xml:space="preserve"> PAGEREF _Toc900005022 \h </w:instrText>
              <w:fldChar w:fldCharType="separate"/>
              <w:t>10</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23" w:history="1">
            <w:r>
              <w:rPr>
                <w:rStyle w:val="Collegamentoipertestuale"/>
                <w:rFonts w:asciiTheme="majorHAnsi" w:hAnsiTheme="majorHAnsi" w:cstheme="majorHAnsi"/>
                <w:noProof/>
              </w:rPr>
              <w:t xml:space="preserve">Ripartizione delle funzioni interne</w:t>
            </w:r>
            <w:r>
              <w:rPr>
                <w:rFonts w:asciiTheme="majorHAnsi" w:hAnsiTheme="majorHAnsi" w:cstheme="majorHAnsi"/>
                <w:noProof/>
                <w:webHidden/>
              </w:rPr>
              <w:tab/>
              <w:fldChar w:fldCharType="begin"/>
              <w:instrText xml:space="preserve"> PAGEREF _Toc900005023 \h </w:instrText>
              <w:fldChar w:fldCharType="separate"/>
              <w:t>10</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24" w:history="1">
            <w:r>
              <w:rPr>
                <w:rStyle w:val="Collegamentoipertestuale"/>
                <w:rFonts w:asciiTheme="majorHAnsi" w:hAnsiTheme="majorHAnsi" w:cstheme="majorHAnsi"/>
                <w:noProof/>
              </w:rPr>
              <w:t xml:space="preserve">Ruolo, compiti e responsabilità del Presidente</w:t>
            </w:r>
            <w:r>
              <w:rPr>
                <w:rFonts w:asciiTheme="majorHAnsi" w:hAnsiTheme="majorHAnsi" w:cstheme="majorHAnsi"/>
                <w:noProof/>
                <w:webHidden/>
              </w:rPr>
              <w:tab/>
              <w:fldChar w:fldCharType="begin"/>
              <w:instrText xml:space="preserve"> PAGEREF _Toc900005024 \h </w:instrText>
              <w:fldChar w:fldCharType="separate"/>
              <w:t>11</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25" w:history="1">
            <w:r>
              <w:rPr>
                <w:rStyle w:val="Collegamentoipertestuale"/>
                <w:rFonts w:asciiTheme="majorHAnsi" w:hAnsiTheme="majorHAnsi" w:cstheme="majorHAnsi"/>
                <w:noProof/>
              </w:rPr>
              <w:t xml:space="preserve">Ruolo, compiti e responsabilità del Vicepresidente</w:t>
            </w:r>
            <w:r>
              <w:rPr>
                <w:rFonts w:asciiTheme="majorHAnsi" w:hAnsiTheme="majorHAnsi" w:cstheme="majorHAnsi"/>
                <w:noProof/>
                <w:webHidden/>
              </w:rPr>
              <w:tab/>
              <w:fldChar w:fldCharType="begin"/>
              <w:instrText xml:space="preserve"> PAGEREF _Toc900005025 \h </w:instrText>
              <w:fldChar w:fldCharType="separate"/>
              <w:t>11</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26" w:history="1">
            <w:r>
              <w:rPr>
                <w:rStyle w:val="Collegamentoipertestuale"/>
                <w:rFonts w:asciiTheme="majorHAnsi" w:hAnsiTheme="majorHAnsi" w:cstheme="majorHAnsi"/>
                <w:noProof/>
              </w:rPr>
              <w:t xml:space="preserve">Ruolo, compiti e responsabilità del Segretario</w:t>
            </w:r>
            <w:r>
              <w:rPr>
                <w:rFonts w:asciiTheme="majorHAnsi" w:hAnsiTheme="majorHAnsi" w:cstheme="majorHAnsi"/>
                <w:noProof/>
                <w:webHidden/>
              </w:rPr>
              <w:tab/>
              <w:fldChar w:fldCharType="begin"/>
              <w:instrText xml:space="preserve"> PAGEREF _Toc900005026 \h </w:instrText>
              <w:fldChar w:fldCharType="separate"/>
              <w:t>11</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27" w:history="1">
            <w:r>
              <w:rPr>
                <w:rStyle w:val="Collegamentoipertestuale"/>
                <w:rFonts w:asciiTheme="majorHAnsi" w:hAnsiTheme="majorHAnsi" w:cstheme="majorHAnsi"/>
                <w:noProof/>
              </w:rPr>
              <w:t xml:space="preserve">Ruolo, compiti e responsabilità del Tesoriere</w:t>
            </w:r>
            <w:r>
              <w:rPr>
                <w:rFonts w:asciiTheme="majorHAnsi" w:hAnsiTheme="majorHAnsi" w:cstheme="majorHAnsi"/>
                <w:noProof/>
                <w:webHidden/>
              </w:rPr>
              <w:tab/>
              <w:fldChar w:fldCharType="begin"/>
              <w:instrText xml:space="preserve"> PAGEREF _Toc900005027 \h </w:instrText>
              <w:fldChar w:fldCharType="separate"/>
              <w:t>11</w:t>
              <w:fldChar w:fldCharType="end"/>
            </w:r>
          </w:hyperlink>
        </w:p>
        <w:p w:rsidR="00433CE6" w:rsidRPr="00433CE6" w:rsidRDefault="00C84CD7" w:rsidP="00433CE6">
          <w:pPr>
            <w:pStyle w:val="Sommario2"/>
            <w:rPr>
              <w:lang w:eastAsia="it-IT"/>
            </w:rPr>
          </w:pPr>
          <w:hyperlink w:anchor="_Toc900005028" w:history="1">
            <w:r>
              <w:rPr>
                <w:rStyle w:val="Collegamentoipertestuale"/>
              </w:rPr>
              <w:t xml:space="preserve">5.</w:t>
            </w:r>
            <w:r>
              <w:rPr>
                <w:lang w:eastAsia="it-IT"/>
              </w:rPr>
              <w:tab/>
            </w:r>
            <w:r>
              <w:rPr>
                <w:rStyle w:val="Collegamentoipertestuale"/>
              </w:rPr>
              <w:t xml:space="preserve">Regolamento per le Spese e i Rimborsi</w:t>
            </w:r>
            <w:r>
              <w:rPr>
                <w:webHidden/>
              </w:rPr>
              <w:tab/>
              <w:fldChar w:fldCharType="begin"/>
              <w:instrText xml:space="preserve"> PAGEREF _Toc900005028 \h </w:instrText>
              <w:fldChar w:fldCharType="separate"/>
              <w:t>12</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29" w:history="1">
            <w:r>
              <w:rPr>
                <w:rStyle w:val="Collegamentoipertestuale"/>
                <w:rFonts w:asciiTheme="majorHAnsi" w:hAnsiTheme="majorHAnsi" w:cstheme="majorHAnsi"/>
                <w:noProof/>
              </w:rPr>
              <w:t xml:space="preserve">Divieto di assunzione impegni senza autorizzazione</w:t>
            </w:r>
            <w:r>
              <w:rPr>
                <w:rFonts w:asciiTheme="majorHAnsi" w:hAnsiTheme="majorHAnsi" w:cstheme="majorHAnsi"/>
                <w:noProof/>
                <w:webHidden/>
              </w:rPr>
              <w:tab/>
              <w:fldChar w:fldCharType="begin"/>
              <w:instrText xml:space="preserve"> PAGEREF _Toc900005029 \h </w:instrText>
              <w:fldChar w:fldCharType="separate"/>
              <w:t>12</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30" w:history="1">
            <w:r>
              <w:rPr>
                <w:rStyle w:val="Collegamentoipertestuale"/>
                <w:rFonts w:asciiTheme="majorHAnsi" w:hAnsiTheme="majorHAnsi" w:cstheme="majorHAnsi"/>
                <w:noProof/>
              </w:rPr>
              <w:t xml:space="preserve">Incassi e pagamenti</w:t>
            </w:r>
            <w:r>
              <w:rPr>
                <w:rFonts w:asciiTheme="majorHAnsi" w:hAnsiTheme="majorHAnsi" w:cstheme="majorHAnsi"/>
                <w:noProof/>
                <w:webHidden/>
              </w:rPr>
              <w:tab/>
              <w:fldChar w:fldCharType="begin"/>
              <w:instrText xml:space="preserve"> PAGEREF _Toc900005030 \h </w:instrText>
              <w:fldChar w:fldCharType="separate"/>
              <w:t>12</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31" w:history="1">
            <w:r>
              <w:rPr>
                <w:rStyle w:val="Collegamentoipertestuale"/>
                <w:rFonts w:asciiTheme="majorHAnsi" w:hAnsiTheme="majorHAnsi" w:cstheme="majorHAnsi"/>
                <w:noProof/>
              </w:rPr>
              <w:t xml:space="preserve">Spese anticipate dai soci</w:t>
            </w:r>
            <w:r>
              <w:rPr>
                <w:rFonts w:asciiTheme="majorHAnsi" w:hAnsiTheme="majorHAnsi" w:cstheme="majorHAnsi"/>
                <w:noProof/>
                <w:webHidden/>
              </w:rPr>
              <w:tab/>
              <w:fldChar w:fldCharType="begin"/>
              <w:instrText xml:space="preserve"> PAGEREF _Toc900005031 \h </w:instrText>
              <w:fldChar w:fldCharType="separate"/>
              <w:t>13</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32" w:history="1">
            <w:r>
              <w:rPr>
                <w:rStyle w:val="Collegamentoipertestuale"/>
                <w:rFonts w:asciiTheme="majorHAnsi" w:hAnsiTheme="majorHAnsi" w:cstheme="majorHAnsi"/>
                <w:noProof/>
              </w:rPr>
              <w:t xml:space="preserve">Tracciabilità dei rimborsi spese ai volontari</w:t>
            </w:r>
            <w:r>
              <w:rPr>
                <w:rFonts w:asciiTheme="majorHAnsi" w:hAnsiTheme="majorHAnsi" w:cstheme="majorHAnsi"/>
                <w:noProof/>
                <w:webHidden/>
              </w:rPr>
              <w:tab/>
              <w:fldChar w:fldCharType="begin"/>
              <w:instrText xml:space="preserve"> PAGEREF _Toc900005032 \h </w:instrText>
              <w:fldChar w:fldCharType="separate"/>
              <w:t>13</w:t>
              <w:fldChar w:fldCharType="end"/>
            </w:r>
          </w:hyperlink>
        </w:p>
        <w:p w:rsidR="00433CE6" w:rsidRPr="00433CE6" w:rsidRDefault="00C84CD7" w:rsidP="00433CE6">
          <w:pPr>
            <w:pStyle w:val="Sommario2"/>
            <w:rPr>
              <w:lang w:eastAsia="it-IT"/>
            </w:rPr>
          </w:pPr>
          <w:hyperlink w:anchor="_Toc900005033" w:history="1">
            <w:r>
              <w:rPr>
                <w:rStyle w:val="Collegamentoipertestuale"/>
              </w:rPr>
              <w:t xml:space="preserve">6.</w:t>
            </w:r>
            <w:r>
              <w:rPr>
                <w:lang w:eastAsia="it-IT"/>
              </w:rPr>
              <w:tab/>
            </w:r>
            <w:r>
              <w:rPr>
                <w:rStyle w:val="Collegamentoipertestuale"/>
              </w:rPr>
              <w:t xml:space="preserve">Tutela dei Minori e Prevenzione degli Abusi (Safeguarding)</w:t>
            </w:r>
            <w:r>
              <w:rPr>
                <w:webHidden/>
              </w:rPr>
              <w:tab/>
              <w:fldChar w:fldCharType="begin"/>
              <w:instrText xml:space="preserve"> PAGEREF _Toc900005033 \h </w:instrText>
              <w:fldChar w:fldCharType="separate"/>
              <w:t>13</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34" w:history="1">
            <w:r>
              <w:rPr>
                <w:rStyle w:val="Collegamentoipertestuale"/>
                <w:rFonts w:asciiTheme="majorHAnsi" w:hAnsiTheme="majorHAnsi" w:cstheme="majorHAnsi"/>
                <w:noProof/>
              </w:rPr>
              <w:t xml:space="preserve">Politica di tolleranza zero e Modello Organizzativo</w:t>
            </w:r>
            <w:r>
              <w:rPr>
                <w:rFonts w:asciiTheme="majorHAnsi" w:hAnsiTheme="majorHAnsi" w:cstheme="majorHAnsi"/>
                <w:noProof/>
                <w:webHidden/>
              </w:rPr>
              <w:tab/>
              <w:fldChar w:fldCharType="begin"/>
              <w:instrText xml:space="preserve"> PAGEREF _Toc900005034 \h </w:instrText>
              <w:fldChar w:fldCharType="separate"/>
              <w:t>13</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35" w:history="1">
            <w:r>
              <w:rPr>
                <w:rStyle w:val="Collegamentoipertestuale"/>
                <w:rFonts w:asciiTheme="majorHAnsi" w:hAnsiTheme="majorHAnsi" w:cstheme="majorHAnsi"/>
                <w:noProof/>
              </w:rPr>
              <w:t xml:space="preserve">Rispetto del Codice di Condotta e Whistleblowing</w:t>
            </w:r>
            <w:r>
              <w:rPr>
                <w:rFonts w:asciiTheme="majorHAnsi" w:hAnsiTheme="majorHAnsi" w:cstheme="majorHAnsi"/>
                <w:noProof/>
                <w:webHidden/>
              </w:rPr>
              <w:tab/>
              <w:fldChar w:fldCharType="begin"/>
              <w:instrText xml:space="preserve"> PAGEREF _Toc900005035 \h </w:instrText>
              <w:fldChar w:fldCharType="separate"/>
              <w:t>14</w:t>
              <w:fldChar w:fldCharType="end"/>
            </w:r>
          </w:hyperlink>
        </w:p>
        <w:p w:rsidR="00433CE6" w:rsidRPr="00433CE6" w:rsidRDefault="00C84CD7" w:rsidP="00433CE6">
          <w:pPr>
            <w:pStyle w:val="Sommario2"/>
            <w:rPr>
              <w:lang w:eastAsia="it-IT"/>
            </w:rPr>
          </w:pPr>
          <w:hyperlink w:anchor="_Toc900005036" w:history="1">
            <w:r>
              <w:rPr>
                <w:rStyle w:val="Collegamentoipertestuale"/>
              </w:rPr>
              <w:t xml:space="preserve">7.</w:t>
            </w:r>
            <w:r>
              <w:rPr>
                <w:lang w:eastAsia="it-IT"/>
              </w:rPr>
              <w:tab/>
            </w:r>
            <w:r>
              <w:rPr>
                <w:rStyle w:val="Collegamentoipertestuale"/>
              </w:rPr>
              <w:t xml:space="preserve">Gestione Telematica, Libri Sociali e Trasparenza</w:t>
            </w:r>
            <w:r>
              <w:rPr>
                <w:webHidden/>
              </w:rPr>
              <w:tab/>
              <w:fldChar w:fldCharType="begin"/>
              <w:instrText xml:space="preserve"> PAGEREF _Toc900005036 \h </w:instrText>
              <w:fldChar w:fldCharType="separate"/>
              <w:t>14</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37" w:history="1">
            <w:r>
              <w:rPr>
                <w:rStyle w:val="Collegamentoipertestuale"/>
                <w:rFonts w:asciiTheme="majorHAnsi" w:hAnsiTheme="majorHAnsi" w:cstheme="majorHAnsi"/>
                <w:noProof/>
              </w:rPr>
              <w:t xml:space="preserve">Digitalizzazione dei libri sociali e contabili</w:t>
            </w:r>
            <w:r>
              <w:rPr>
                <w:rFonts w:asciiTheme="majorHAnsi" w:hAnsiTheme="majorHAnsi" w:cstheme="majorHAnsi"/>
                <w:noProof/>
                <w:webHidden/>
              </w:rPr>
              <w:tab/>
              <w:fldChar w:fldCharType="begin"/>
              <w:instrText xml:space="preserve"> PAGEREF _Toc900005037 \h </w:instrText>
              <w:fldChar w:fldCharType="separate"/>
              <w:t>14</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38" w:history="1">
            <w:r>
              <w:rPr>
                <w:rStyle w:val="Collegamentoipertestuale"/>
                <w:rFonts w:asciiTheme="majorHAnsi" w:hAnsiTheme="majorHAnsi" w:cstheme="majorHAnsi"/>
                <w:noProof/>
              </w:rPr>
              <w:t xml:space="preserve">Verbali e libri dei verbali</w:t>
            </w:r>
            <w:r>
              <w:rPr>
                <w:rFonts w:asciiTheme="majorHAnsi" w:hAnsiTheme="majorHAnsi" w:cstheme="majorHAnsi"/>
                <w:noProof/>
                <w:webHidden/>
              </w:rPr>
              <w:tab/>
              <w:fldChar w:fldCharType="begin"/>
              <w:instrText xml:space="preserve"> PAGEREF _Toc900005038 \h </w:instrText>
              <w:fldChar w:fldCharType="separate"/>
              <w:t>14</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39" w:history="1">
            <w:r>
              <w:rPr>
                <w:rStyle w:val="Collegamentoipertestuale"/>
                <w:rFonts w:asciiTheme="majorHAnsi" w:hAnsiTheme="majorHAnsi" w:cstheme="majorHAnsi"/>
                <w:noProof/>
              </w:rPr>
              <w:t xml:space="preserve">Data certa tramite posta elettronica certificata</w:t>
            </w:r>
            <w:r>
              <w:rPr>
                <w:rFonts w:asciiTheme="majorHAnsi" w:hAnsiTheme="majorHAnsi" w:cstheme="majorHAnsi"/>
                <w:noProof/>
                <w:webHidden/>
              </w:rPr>
              <w:tab/>
              <w:fldChar w:fldCharType="begin"/>
              <w:instrText xml:space="preserve"> PAGEREF _Toc900005039 \h </w:instrText>
              <w:fldChar w:fldCharType="separate"/>
              <w:t>15</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40" w:history="1">
            <w:r>
              <w:rPr>
                <w:rStyle w:val="Collegamentoipertestuale"/>
                <w:rFonts w:asciiTheme="majorHAnsi" w:hAnsiTheme="majorHAnsi" w:cstheme="majorHAnsi"/>
                <w:noProof/>
              </w:rPr>
              <w:t xml:space="preserve">Domicilio informatico e convocazioni telematiche</w:t>
            </w:r>
            <w:r>
              <w:rPr>
                <w:rFonts w:asciiTheme="majorHAnsi" w:hAnsiTheme="majorHAnsi" w:cstheme="majorHAnsi"/>
                <w:noProof/>
                <w:webHidden/>
              </w:rPr>
              <w:tab/>
              <w:fldChar w:fldCharType="begin"/>
              <w:instrText xml:space="preserve"> PAGEREF _Toc900005040 \h </w:instrText>
              <w:fldChar w:fldCharType="separate"/>
              <w:t>15</w:t>
              <w:fldChar w:fldCharType="end"/>
            </w:r>
          </w:hyperlink>
        </w:p>
        <w:p w:rsidR="00433CE6" w:rsidRPr="00433CE6" w:rsidRDefault="00C84CD7" w:rsidP="00433CE6">
          <w:pPr>
            <w:pStyle w:val="Sommario2"/>
            <w:rPr>
              <w:lang w:eastAsia="it-IT"/>
            </w:rPr>
          </w:pPr>
          <w:hyperlink w:anchor="_Toc900005041" w:history="1">
            <w:r>
              <w:rPr>
                <w:rStyle w:val="Collegamentoipertestuale"/>
              </w:rPr>
              <w:t xml:space="preserve">8.</w:t>
            </w:r>
            <w:r>
              <w:rPr>
                <w:lang w:eastAsia="it-IT"/>
              </w:rPr>
              <w:tab/>
            </w:r>
            <w:r>
              <w:rPr>
                <w:rStyle w:val="Collegamentoipertestuale"/>
              </w:rPr>
              <w:t xml:space="preserve">Gestione di Ospiti, Accompagnatori e Genitori</w:t>
            </w:r>
            <w:r>
              <w:rPr>
                <w:webHidden/>
              </w:rPr>
              <w:tab/>
              <w:fldChar w:fldCharType="begin"/>
              <w:instrText xml:space="preserve"> PAGEREF _Toc900005041 \h </w:instrText>
              <w:fldChar w:fldCharType="separate"/>
              <w:t>15</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42" w:history="1">
            <w:r>
              <w:rPr>
                <w:rStyle w:val="Collegamentoipertestuale"/>
                <w:rFonts w:asciiTheme="majorHAnsi" w:hAnsiTheme="majorHAnsi" w:cstheme="majorHAnsi"/>
                <w:noProof/>
              </w:rPr>
              <w:t xml:space="preserve">Limitazione degli accessi alle aree operative</w:t>
            </w:r>
            <w:r>
              <w:rPr>
                <w:rFonts w:asciiTheme="majorHAnsi" w:hAnsiTheme="majorHAnsi" w:cstheme="majorHAnsi"/>
                <w:noProof/>
                <w:webHidden/>
              </w:rPr>
              <w:tab/>
              <w:fldChar w:fldCharType="begin"/>
              <w:instrText xml:space="preserve"> PAGEREF _Toc900005042 \h </w:instrText>
              <w:fldChar w:fldCharType="separate"/>
              <w:t>15</w:t>
              <w:fldChar w:fldCharType="end"/>
            </w:r>
          </w:hyperlink>
        </w:p>
        <w:p w:rsidR="00433CE6" w:rsidRPr="00433CE6" w:rsidRDefault="00C84CD7">
          <w:pPr>
            <w:pStyle w:val="Sommario3"/>
            <w:tabs>
              <w:tab w:val="right" w:leader="dot" w:pos="9962"/>
            </w:tabs>
            <w:rPr>
              <w:rFonts w:asciiTheme="majorHAnsi" w:hAnsiTheme="majorHAnsi" w:cstheme="majorHAnsi"/>
              <w:noProof/>
            </w:rPr>
          </w:pPr>
          <w:hyperlink w:anchor="_Toc900005043" w:history="1">
            <w:r>
              <w:rPr>
                <w:rStyle w:val="Collegamentoipertestuale"/>
                <w:rFonts w:asciiTheme="majorHAnsi" w:hAnsiTheme="majorHAnsi" w:cstheme="majorHAnsi"/>
                <w:noProof/>
              </w:rPr>
              <w:t xml:space="preserve">Obbligo di sorveglianza sui minori</w:t>
            </w:r>
            <w:r>
              <w:rPr>
                <w:rFonts w:asciiTheme="majorHAnsi" w:hAnsiTheme="majorHAnsi" w:cstheme="majorHAnsi"/>
                <w:noProof/>
                <w:webHidden/>
              </w:rPr>
              <w:tab/>
              <w:fldChar w:fldCharType="begin"/>
              <w:instrText xml:space="preserve"> PAGEREF _Toc900005043 \h </w:instrText>
              <w:fldChar w:fldCharType="separate"/>
              <w:t>16</w:t>
              <w:fldChar w:fldCharType="end"/>
            </w:r>
          </w:hyperlink>
        </w:p>
        <w:p w:rsidR="00433CE6" w:rsidRPr="00433CE6" w:rsidRDefault="00C84CD7" w:rsidP="00433CE6">
          <w:pPr>
            <w:pStyle w:val="Sommario2"/>
            <w:rPr>
              <w:lang w:eastAsia="it-IT"/>
            </w:rPr>
          </w:pPr>
          <w:hyperlink w:anchor="_Toc900005044" w:history="1">
            <w:r>
              <w:rPr>
                <w:rStyle w:val="Collegamentoipertestuale"/>
              </w:rPr>
              <w:t xml:space="preserve">9.</w:t>
            </w:r>
            <w:r>
              <w:rPr>
                <w:lang w:eastAsia="it-IT"/>
              </w:rPr>
              <w:tab/>
            </w:r>
            <w:r>
              <w:rPr>
                <w:rStyle w:val="Collegamentoipertestuale"/>
              </w:rPr>
              <w:t xml:space="preserve">Riferimenti Normativi</w:t>
            </w:r>
            <w:r>
              <w:rPr>
                <w:webHidden/>
              </w:rPr>
              <w:tab/>
              <w:fldChar w:fldCharType="begin"/>
              <w:instrText xml:space="preserve"> PAGEREF _Toc900005044 \h </w:instrText>
              <w:fldChar w:fldCharType="separate"/>
              <w:t>16</w:t>
              <w:fldChar w:fldCharType="end"/>
            </w:r>
          </w:hyperlink>
        </w:p>
        <w:p w:rsidR="00433CE6" w:rsidRDefault="00D46BBF">
          <w:pPr>
            <w:rPr>
              <w:rFonts w:asciiTheme="majorHAnsi" w:hAnsiTheme="majorHAnsi" w:cstheme="majorHAnsi"/>
              <w:b/>
              <w:bCs/>
            </w:rPr>
          </w:pPr>
          <w:r>
            <w:rPr>
              <w:rFonts w:asciiTheme="majorHAnsi" w:hAnsiTheme="majorHAnsi" w:cstheme="majorHAnsi"/>
              <w:b/>
              <w:bCs/>
            </w:rPr>
            <w:fldChar w:fldCharType="end"/>
          </w:r>
        </w:p>
      </w:sdtContent>
    </w:sdt>
    <w:p w:rsidR="009C08CC" w:rsidRPr="009C08CC" w:rsidRDefault="009C08CC" w:rsidP="00D46BBF">
      <w:pPr>
        <w:pStyle w:val="Titolo2"/>
        <w:pageBreakBefore/>
      </w:pPr>
      <w:bookmarkStart w:id="5001" w:name="_Toc900005001"/>
      <w:r>
        <w:t xml:space="preserve">Gestione delle Strutture del Campo e Deposito Materiale</w:t>
      </w:r>
      <w:bookmarkEnd w:id="5001"/>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02" w:name="_Toc900005002"/>
            <w:r>
              <w:t xml:space="preserve">Accesso al campo di tiro</w:t>
            </w:r>
            <w:bookmarkEnd w:id="5002"/>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Il campo di tiro "Franco Cortignani", sito in località Macchietto, Viceno (Castel Viscardo), è accessibile esclusivamente ai soci e ai tesserati in regola con il tesseramento sociale e federale per l'anno in corso (statuto, art. 2, comma 4).</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Garantire la copertura assicurativa obbligatoria prevista dalle norme federali e di promozione sportiva per chiunque frequenti le strutture, tutelando al contempo l'Associazione da responsabilità connesse alla presenza di soggetti non autorizzati.</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03" w:name="_Toc900005003"/>
            <w:r>
              <w:t xml:space="preserve">Deposito dell'attrezzatura sociale e personale</w:t>
            </w:r>
            <w:bookmarkEnd w:id="5003"/>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Gli arcieri possono lasciare la propria attrezzatura negli spazi adibiti al deposito (baracca/club house) esclusivamente per comodità e a proprio rischio e pericolo. Gli archi vanno riposti sulle rastrelliere, le faretre sugli appendiabiti, le frecce nelle faretre o nelle borse, e gli zaini sulle scaffalature. È severamente vietato lasciare oggetti a terra o nei transiti.</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L'Associazione non svolge custodie professionali a titolo oneroso ma offre spazi di cortesia; l'ordine rigoroso e il divieto di lasciare oggetti sui pavimenti o nei passaggi sono essenziali per prevenire inciampi, infortuni e danneggiamenti accidentali all'attrezzatura.</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04" w:name="_Toc900005004"/>
            <w:r>
              <w:t xml:space="preserve">Rispetto e salvaguardia delle dotazioni</w:t>
            </w:r>
            <w:bookmarkEnd w:id="5004"/>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I soci sono tenuti a rispettare le attrezzature sociali e a segnalare tempestivamente al Consiglio Direttivo eventuali danneggiamenti.</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La conservazione del patrimonio comune e delle strutture operative riduce i costi di gestione e garantisce la continuità delle attività sportive in piena sicurezza.</w:t>
            </w:r>
          </w:p>
        </w:tc>
      </w:tr>
    </w:tbl>
    <w:p w:rsidR="009C08CC" w:rsidRPr="009C08CC" w:rsidRDefault="009C08CC" w:rsidP="00D46BBF">
      <w:pPr>
        <w:pStyle w:val="Titolo2"/>
      </w:pPr>
      <w:bookmarkStart w:id="5005" w:name="_Toc900005005"/>
      <w:r>
        <w:t xml:space="preserve">Accesso ai Campi di Tiro e Sicurezza sulla Linea di Tiro</w:t>
      </w:r>
      <w:bookmarkEnd w:id="5005"/>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06" w:name="_Toc900005006"/>
            <w:r>
              <w:t xml:space="preserve">Norme fondamentali di sicurezza attiva</w:t>
            </w:r>
            <w:bookmarkEnd w:id="5006"/>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È severamente vietato incoccare la freccia fuori linea. L'arco non deve mai essere puntato verso persone o zone non protette. È vietato tendere l'arco in aree comuni o dietro la linea di tiro. Non si sale sulla linea di tiro e non si recuperano le frecce senza il segnale ufficiale. È vietato il tiro a parabola. Al grido di "STOP!" o "ALT!", tutti gli arcieri devono interrompere immediatamente l'azione e disincoccare la freccia.</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Il tiro con l'arco utilizza attrezzi di potenziale offesa assimilabili ad armi sportive; la rigidità assoluta delle regole di ingaggio e l'interruzione immediata al comando di stop azzerano il rischio di incidenti gravissimi o lesioni personali.</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07" w:name="_Toc900005007"/>
            <w:r>
              <w:t xml:space="preserve">Divieto di dispositivi acustici isolanti</w:t>
            </w:r>
            <w:bookmarkEnd w:id="5007"/>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È vietato indossare cuffie, auricolari o dispositivi acustici isolanti sulla linea di tiro o sul percorso.</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La percezione uditiva tempestiva dei segnali di allarme ("STOP!" o "ALT!") e delle indicazioni impartite dai tecnici o dai compagni è un requisito salvavita irrinunciabile per la sicurezza collettiva.</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08" w:name="_Toc900005008"/>
            <w:r>
              <w:t xml:space="preserve">Identificazione univoca delle frecce</w:t>
            </w:r>
            <w:bookmarkEnd w:id="5008"/>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Tutte le frecce devono recare in modo chiaro e indelebile il nome o le iniziali del proprietario.</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La marcatura delle frecce garantisce la tracciabilità in caso di smarrimento nel bosco o nei campi (prevenendo conflitti o abbandoni di materiale), risolve in modo inequivocabile le contestazioni sui punteggi durante le gare e le sessioni di verifica, ed evita scambi involontari di costosa attrezzatura tra i soci.</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09" w:name="_Toc900005009"/>
            <w:r>
              <w:t xml:space="preserve">Rinvio ai regolamenti tecnici specifici</w:t>
            </w:r>
            <w:bookmarkEnd w:id="5009"/>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L'accesso al campo targa e ai percorsi naturalistici 3D richiede abilitazione e rispetto rigoroso della segnaletica di sicurezza, delle distanze e delle prescrizioni tecniche dettagliate nell'apposito Regolamento di Campo per la Linea di Tiro e i Percorsi 3D adottato dall'Associazione.</w:t>
            </w:r>
          </w:p>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Prima di ogni sessione all'aperto o gara sui percorsi, i responsabili effettuano una ricognizione e predispongono la cartellonistica di pericolo nelle aree di contatto con terzi non soci.</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La specificità tecnica delle piazzole 3D e del campo targa richiede una disciplina analitica dedicata che non deve appesantire il regolamento generale, garantendo al contempo standard di sicurezza mirati per ogni tipologia di percorso e la sicurezza passiva verso escursionisti e terzi.</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10" w:name="_Toc900005010"/>
            <w:r>
              <w:t xml:space="preserve">Allontanamento immediato e disposizioni urgenti</w:t>
            </w:r>
            <w:bookmarkEnd w:id="5010"/>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Il Presidente, un consigliere o il tecnico responsabile presente può allontanare immediatamente dal campo chi mette a rischio la sicurezza propria o altrui. Il provvedimento è annotato e comunicato al Consiglio Direttivo, che lo conferma o lo revoca entro 15 giorni (statuto, art. 10, comma 3).</w:t>
            </w:r>
          </w:p>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Per ragioni di sicurezza il Consiglio Direttivo può adottare disposizioni urgenti sull'uso del campo, efficaci subito, comunicate ai soci e sottoposte all'Assemblea nella prima riunione utile (statuto, art. 28, comma 5).</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Di fronte a un pericolo non si può aspettare una delibera: chi è presente deve poter intervenire subito, mentre la conferma del Consiglio garantisce che il provvedimento resti motivato e controllato.</w:t>
            </w:r>
          </w:p>
        </w:tc>
      </w:tr>
    </w:tbl>
    <w:p w:rsidR="009C08CC" w:rsidRPr="009C08CC" w:rsidRDefault="009C08CC" w:rsidP="00D46BBF">
      <w:pPr>
        <w:pStyle w:val="Titolo2"/>
      </w:pPr>
      <w:bookmarkStart w:id="5011" w:name="_Toc900005011"/>
      <w:r>
        <w:t xml:space="preserve">Soci: Ammissione, Quote e Provvedimenti</w:t>
      </w:r>
      <w:bookmarkEnd w:id="5011"/>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12" w:name="_Toc900005012"/>
            <w:r>
              <w:t xml:space="preserve">Domanda di ammissione</w:t>
            </w:r>
            <w:bookmarkEnd w:id="5012"/>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La domanda si presenta con il modulo telematico pubblicato sul sito dell'Associazione, o su modulo cartaceo consegnato in sede. La domanda telematica è valida con l'invio del modulo completo delle dichiarazioni richieste; l'Associazione conserva la prova dell'invio (data, ora e dati tecnici) e trasmette all'indirizzo di posta elettronica indicato una ricevuta, con il collegamento per ritirare la domanda.</w:t>
            </w:r>
          </w:p>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Nella domanda del socio minorenne i genitori indicano chi di loro esercita i diritti associativi e il voto in Assemblea (statuto, art. 7, comma 3); il minore che ha compiuto quattordici anni presta personalmente il proprio assenso.</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Rendere la domanda semplice e verificabile: la ricevuta con il collegamento per ritirarla permette al titolare dell'indirizzo di accorgersi di una domanda non sua, e la prova dell'invio dà certezza alla data da cui decorre il termine di 5 giorni del Consiglio.</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13" w:name="_Toc900005013"/>
            <w:r>
              <w:t xml:space="preserve">Voto del Consiglio Direttivo sulle domande</w:t>
            </w:r>
            <w:bookmarkEnd w:id="5013"/>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Il Consiglio Direttivo vota sulle domande, di regola, con la consultazione telematica: ogni consigliere riceve un collegamento personale e vota entro 5 giorni dalla presentazione (statuto, art. 6, comma 3). Il voto contrario è motivato. L'esito, il voto di ciascuno, l'eventuale accoglimento d'ufficio e l'eventuale decisione del Presidente risultano dal verbale.</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Il termine breve e il voto a distanza evitano che il richiedente resti in attesa di una riunione, garantendo comunque un voto personale, motivato e tracciato.</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14" w:name="_Toc900005014"/>
            <w:r>
              <w:t xml:space="preserve">Quota del nuovo socio</w:t>
            </w:r>
            <w:bookmarkEnd w:id="5014"/>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Il nuovo socio versa la quota associativa entro 5 giorni dalla comunicazione dell'accoglimento; vale la data in cui il versamento è disposto. Se il versamento non risulta entro i 5 giorni successivi alla scadenza, tempo lasciato per l'accredito e la registrazione, la domanda decade (statuto, art. 6, comma 5).</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L'ammissione si perfeziona con la quota: un termine breve e certo evita domande accolte che restano sospese, mentre il margine per l'accredito non penalizza chi ha pagato in tempo con bonifico.</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15" w:name="_Toc900005015"/>
            <w:r>
              <w:t xml:space="preserve">Quota annuale e sollecito</w:t>
            </w:r>
            <w:bookmarkEnd w:id="5015"/>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La quota associativa annuale si versa entro il 31 gennaio di ciascun anno sociale. Il socio che non l'ha versata non vota in Assemblea fino al versamento (statuto, art. 8).</w:t>
            </w:r>
          </w:p>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Dopo il 31 gennaio il Tesoriere o il Segretario invia al socio che non ha versato un sollecito scritto per posta elettronica, anche certificata, all'indirizzo del libro dei soci. Trascorsi 30 giorni dal sollecito, e comunque non prima del 30 aprile, il socio che non ha versato decade; il Consiglio Direttivo ne prende atto, la annota nel libro dei soci e la comunica (statuto, art. 9, comma 1).</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Il sollecito scritto dà al socio la certezza di essere avvisato prima di perdere la qualifica; la data del 30 aprile lascia a tutti lo stesso tempo, anche a chi riceve il sollecito subito dopo la scadenza.</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16" w:name="_Toc900005016"/>
            <w:r>
              <w:t xml:space="preserve">Provvedimenti disciplinari</w:t>
            </w:r>
            <w:bookmarkEnd w:id="5016"/>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L'ammonizione è scritta. La sospensione temporanea dalle attività e dai diritti associativi dura da un minimo di 15 giorni a un massimo di sei mesi, secondo la gravità (statuto, art. 10).</w:t>
            </w:r>
          </w:p>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La contestazione degli addebiti è inviata per iscritto, anche per posta elettronica, e indica i fatti, le norme violate e il termine di almeno 10 giorni per presentare difese scritte o chiedere di essere sentiti. Il provvedimento è motivato e comunicato per iscritto.</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Una scala di provvedimenti proporzionata e un procedimento con contestazione e difesa tutelano il socio e rendono i provvedimenti solidi anche in caso di ricorso.</w:t>
            </w:r>
          </w:p>
        </w:tc>
      </w:tr>
    </w:tbl>
    <w:p w:rsidR="009C08CC" w:rsidRPr="009C08CC" w:rsidRDefault="009C08CC" w:rsidP="00D46BBF">
      <w:pPr>
        <w:pStyle w:val="Titolo2"/>
      </w:pPr>
      <w:bookmarkStart w:id="5017" w:name="_Toc900005017"/>
      <w:r>
        <w:t xml:space="preserve">Assemblea e Consiglio Direttivo</w:t>
      </w:r>
      <w:bookmarkEnd w:id="5017"/>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18" w:name="_Toc900005018"/>
            <w:r>
              <w:t xml:space="preserve">Regole di voto e computo degli astenuti nelle delibere</w:t>
            </w:r>
            <w:bookmarkEnd w:id="5018"/>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Nelle votazioni dell'Assemblea e del Consiglio Direttivo gli astenuti concorrono al numero legale ma non al calcolo della maggioranza, che si fa solo tra voti favorevoli e contrari (statuto, artt. 15 e 17). Nelle delibere per cui lo statuto richiede una maggioranza qualificata (modifiche dello statuto, scioglimento ed eventi simili, esclusione di un socio) serve il numero minimo di voti favorevoli indicato dallo statuto; l'astenuto è comunque verbalizzato come astenuto.</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Garantire la chiarezza dei risultati di voto in conformità allo statuto, rispettando chi sceglie di non esprimersi e distinguendo la base dei presenti da quella dei votanti effettivi.</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19" w:name="_Toc900005019"/>
            <w:r>
              <w:t xml:space="preserve">Convocazione e partecipazione all'Assemblea</w:t>
            </w:r>
            <w:bookmarkEnd w:id="5019"/>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L'avviso di convocazione è inviato per posta elettronica, pubblicato nell'area riservata e sul sito, affisso in sede e spedito per posta ordinaria a chi non ha un indirizzo di posta elettronica, nei termini dello statuto (art. 13, comma 4). Con l'avviso il socio riceve un collegamento personale per comunicare se parteciperà in sede, a distanza o se sarà assente; la risposta non è vincolante.</w:t>
            </w:r>
          </w:p>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Il modulo di delega è in calce all'avviso. La delega, firmata e con la copia del documento di identità del delegante, è consegnata al segretario dell'Assemblea prima dell'inizio della riunione, anche per posta elettronica. Le deleghe sono annotate nel foglio delle presenze e conservate con il verbale.</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Raggiungere tutti i soci con mezzi certi, conoscere in anticipo la partecipazione prevista e rendere le deleghe verificabili, a garanzia della regolarità dei quorum.</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20" w:name="_Toc900005020"/>
            <w:r>
              <w:t xml:space="preserve">Scrutatori e voto segreto</w:t>
            </w:r>
            <w:bookmarkEnd w:id="5020"/>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Per le elezioni e le votazioni a scrutinio segreto il presidente dell'Assemblea nomina due scrutatori tra i soci presenti che non siano candidati. Il voto segreto può svolgersi con schede o con strumenti telematici che garantiscano l'identificazione del votante, l'unicità e la segretezza del voto (statuto, art. 14, comma 3). Lo spoglio è pubblico e il risultato è riportato nel verbale.</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La presenza di scrutatori estranei alla competizione e un metodo di voto verificabile assicurano la regolarità e l'accettazione dei risultati elettorali.</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21" w:name="_Toc900005021"/>
            <w:r>
              <w:t xml:space="preserve">Convocazione delle riunioni del Consiglio Direttivo</w:t>
            </w:r>
            <w:bookmarkEnd w:id="5021"/>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Il Presidente convoca il Consiglio per posta elettronica, con l'ordine del giorno e gli eventuali documenti, almeno tre giorni prima; nei casi urgenti almeno 24 ore prima, indicando il motivo dell'urgenza. Data, luogo e ordine del giorno non si modificano dopo la convocazione: se necessario la riunione si rinvia e si convoca di nuovo. Per la videoconferenza l'avviso indica il collegamento.</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Permettere a ogni consigliere di prepararsi e di partecipare, e dare certezza a ciò che è stato effettivamente convocato.</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22" w:name="_Toc900005022"/>
            <w:r>
              <w:t xml:space="preserve">Consultazione telematica del Consiglio Direttivo</w:t>
            </w:r>
            <w:bookmarkEnd w:id="5022"/>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La proposta di delibera può essere preparata dal Segretario; la consultazione è avviata dal Presidente o, in caso di sua assenza o impedimento, dal Vicepresidente. Ogni consigliere riceve un collegamento personale e non cedibile e può votare favorevole, contrario, astenuto o chiedere la discussione in riunione. Il sistema registra data, ora e identificativo del collegamento di ogni voto. Alla chiusura il verbale è redatto con il voto di ciascuno (statuto, art. 17, commi 4–6).</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Decidere rapidamente senza riunione mantenendo le garanzie della riunione: voto personale, tracciato e verbalizzato, e possibilità per una minoranza qualificata di chiedere la discussione.</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23" w:name="_Toc900005023"/>
            <w:r>
              <w:t xml:space="preserve">Ripartizione delle funzioni interne</w:t>
            </w:r>
            <w:bookmarkEnd w:id="5023"/>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I compiti operativi e di gestione amministrativa sono ripartiti tra Presidente, Vicepresidente, Segretario e Tesoriere secondo le regole che seguono (statuto, art. 20, comma 3).</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Mantenere uno statuto snello e affidare al presente regolamento la chiara delimitazione delle responsabilità operative quotidiane, assicurando efficienza gestionale e controllo incrociato.</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24" w:name="_Toc900005024"/>
            <w:r>
              <w:t xml:space="preserve">Ruolo, compiti e responsabilità del Presidente</w:t>
            </w:r>
            <w:bookmarkEnd w:id="5024"/>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Ha la rappresentanza legale e la firma dell'Associazione di fronte a terzi e in giudizio, convoca e presiede l'Assemblea e il Consiglio Direttivo, coordina l'attività associativa, vigila sull'esecuzione delle delibere e sulla conformità statutaria e normativa, esercitando in caso d'urgenza i poteri del Consiglio Direttivo con obbligo di ratifica.</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Garantire la direzione unitaria dell'ente, la rappresentanza istituzionale e la pronta attivazione nelle decisioni urgenti e nei rapporti con le autorità e gli enti di affiliazione (CSEN).</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25" w:name="_Toc900005025"/>
            <w:r>
              <w:t xml:space="preserve">Ruolo, compiti e responsabilità del Vicepresidente</w:t>
            </w:r>
            <w:bookmarkEnd w:id="5025"/>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Sostituisce il Presidente in ogni sua attribuzione in caso di assenza o impedimento, anche per l'avvio delle consultazioni telematiche, dando atto della sostituzione; se il Presidente cessa dalla carica ne esercita le funzioni fino all'elezione del nuovo Presidente (statuto, art. 19, comma 3).</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Assicurare la continuità della rappresentanza e delle decisioni anche quando il Presidente non può agire.</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26" w:name="_Toc900005026"/>
            <w:r>
              <w:t xml:space="preserve">Ruolo, compiti e responsabilità del Segretario</w:t>
            </w:r>
            <w:bookmarkEnd w:id="5026"/>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Dà esecuzione alle delibere del Presidente e del Consiglio Direttivo, redige e condivide i verbali, sottoscrivendoli unitamente a chi presiede la seduta, cura la tenuta dei libri e registri sociali, gestisce la corrispondenza e il domicilio informatico, cura le trattative per l'acquisto di beni e servizi deliberati, predisponendo contratti, ordinativi e verificando la regolarità delle spese prima dell'autorizzazione al pagamento.</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Assicurare la certezza formale e documentale della vita associativa, la trasparenza nella tenuta del libro soci e la rigorosa tracciabilità delle procedure istruttorie di spesa.</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27" w:name="_Toc900005027"/>
            <w:r>
              <w:t xml:space="preserve">Ruolo, compiti e responsabilità del Tesoriere</w:t>
            </w:r>
            <w:bookmarkEnd w:id="5027"/>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Presiede alla gestione amministrativa e contabile curando le scritture di prima nota, gli adempimenti fiscali e contributivi, predisponendo il rendiconto annuale economico-finanziario in concerto con il Consiglio Direttivo, effettuando gli incassi e i pagamenti deliberati e monitorando costantemente le posizioni finanziarie, i crediti e i debiti.</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Garantire il corretto equilibrio economico-finanziario dell'Associazione, la trasparenza contabile e la piena conformità agli obblighi fiscali e di rendicontazione previsti dalla normativa vigente.</w:t>
            </w:r>
          </w:p>
        </w:tc>
      </w:tr>
    </w:tbl>
    <w:p w:rsidR="009C08CC" w:rsidRPr="009C08CC" w:rsidRDefault="009C08CC" w:rsidP="00D46BBF">
      <w:pPr>
        <w:pStyle w:val="Titolo2"/>
      </w:pPr>
      <w:bookmarkStart w:id="5028" w:name="_Toc900005028"/>
      <w:r>
        <w:t xml:space="preserve">Regolamento per le Spese e i Rimborsi</w:t>
      </w:r>
      <w:bookmarkEnd w:id="5028"/>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29" w:name="_Toc900005029"/>
            <w:r>
              <w:t xml:space="preserve">Divieto di assunzione impegni senza autorizzazione</w:t>
            </w:r>
            <w:bookmarkEnd w:id="5029"/>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Nessun socio o collaboratore può assumere impegni di spesa o contrarre obbligazioni economiche senza preventiva autorizzazione del Consiglio Direttivo o, nei limiti da questo stabiliti, del Presidente o del Tesoriere.</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La salvaguardia dell'equilibrio finanziario dell'Associazione e la prevenzione di obbligazioni non deliberate richiedono che ogni spesa sia preventivamente vagliata e autorizzata dagli organi amministrativi.</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30" w:name="_Toc900005030"/>
            <w:r>
              <w:t xml:space="preserve">Incassi e pagamenti</w:t>
            </w:r>
            <w:bookmarkEnd w:id="5030"/>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Le quote e i corrispettivi si versano di preferenza con bonifico o altro strumento tracciabile; il versamento in contanti è ammesso entro i limiti di legge, con ricevuta. Ogni incasso e ogni pagamento è registrato in prima nota con il suo documento (statuto, art. 23).</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La tracciabilità tutela l'Associazione nei controlli e dimostra il carattere non commerciale delle entrate istituzionali, senza escludere chi versa piccole somme in sede.</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31" w:name="_Toc900005031"/>
            <w:r>
              <w:t xml:space="preserve">Spese anticipate dai soci</w:t>
            </w:r>
            <w:bookmarkEnd w:id="5031"/>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Il socio che, autorizzato, paga di tasca propria una spesa dell'Associazione consegna il giustificativo originale (scontrino, ricevuta o fattura). Il rimborso avviene con una nota di rimborso firmata dal socio e vistata dal Tesoriere (dal Presidente se ha anticipato il Tesoriere), pagata in contanti con quietanza o con bonifico. Il socio può rinunciare al rimborso: la somma è registrata come donazione all'Associazione.</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Il rimborso di spese documentate fatte per conto dell'Associazione non è un compenso: la nota firmata e il giustificativo originale lo dimostrano ed evitano che la stessa spesa sia rimborsata due volte.</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32" w:name="_Toc900005032"/>
            <w:r>
              <w:t xml:space="preserve">Tracciabilità dei rimborsi spese ai volontari</w:t>
            </w:r>
            <w:bookmarkEnd w:id="5032"/>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Ai volontari possono essere rimborsate esclusivamente le spese effettivamente sostenute e documentate per l'attività prestata fuori dal territorio comunale di residenza, nei limiti dell'art. 29 del D.Lgs. 36/2021 e delle delibere del Consiglio Direttivo. Non sono ammessi rimborsi forfettari. La regola non riguarda le spese anticipate per acquisti dell'Associazione, che seguono la regola precedente.</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Garantire la piena conformità fiscale alla Riforma dello Sport, escludendo rimborsi forfettari e vincolando l'erogazione alla rigorosa documentazione giustificativa e territoriale.</w:t>
            </w:r>
          </w:p>
        </w:tc>
      </w:tr>
    </w:tbl>
    <w:p w:rsidR="009C08CC" w:rsidRPr="009C08CC" w:rsidRDefault="009C08CC" w:rsidP="00D46BBF">
      <w:pPr>
        <w:pStyle w:val="Titolo2"/>
      </w:pPr>
      <w:bookmarkStart w:id="5033" w:name="_Toc900005033"/>
      <w:r>
        <w:t xml:space="preserve">Tutela dei Minori e Prevenzione degli Abusi (Safeguarding)</w:t>
      </w:r>
      <w:bookmarkEnd w:id="5033"/>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34" w:name="_Toc900005034"/>
            <w:r>
              <w:t xml:space="preserve">Politica di tolleranza zero e Modello Organizzativo</w:t>
            </w:r>
            <w:bookmarkEnd w:id="5034"/>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In attuazione dell'art. 16 del D.Lgs. 39/2021, l'Associazione adotta tolleranza zero contro ogni forma di abuso, violenza o discriminazione, nominando un apposito Responsabile per la protezione dei tesserati (Safeguarding Officer) esterno al Consiglio Direttivo.</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Proteggere l'integrità fisica e morale dei minori e di tutti i tesserati, garantendo al contempo l'autonomia e la terzietà del Responsabile rispetto agli amministratori dell'ente.</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35" w:name="_Toc900005035"/>
            <w:r>
              <w:t xml:space="preserve">Rispetto del Codice di Condotta e Whistleblowing</w:t>
            </w:r>
            <w:bookmarkEnd w:id="5035"/>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Tutti i tesserati, tecnici e collaboratori sono tenuti al rispetto del Codice di Condotta e delle procedure di segnalazione (Whistleblowing) a tutela del clima associativo.</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Promuovere una cultura della trasparenza e della sicurezza relazionale in cui chiunque possa denunciare irregolarità o comportamenti lesivi in piena protezione da ritorsioni.</w:t>
            </w:r>
          </w:p>
        </w:tc>
      </w:tr>
    </w:tbl>
    <w:p w:rsidR="009C08CC" w:rsidRPr="009C08CC" w:rsidRDefault="009C08CC" w:rsidP="00D46BBF">
      <w:pPr>
        <w:pStyle w:val="Titolo2"/>
      </w:pPr>
      <w:bookmarkStart w:id="5036" w:name="_Toc900005036"/>
      <w:r>
        <w:t xml:space="preserve">Gestione Telematica, Libri Sociali e Trasparenza</w:t>
      </w:r>
      <w:bookmarkEnd w:id="5036"/>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37" w:name="_Toc900005037"/>
            <w:r>
              <w:t xml:space="preserve">Digitalizzazione dei libri sociali e contabili</w:t>
            </w:r>
            <w:bookmarkEnd w:id="5037"/>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La gestione amministrativa e contabile, il tesseramento, la tenuta dei libri sociali e la pubblicazione dei rendiconti avvengono tramite la piattaforma gestionale informatica adottata dall'Associazione, dotata di area riservata e di un registro delle operazioni (Audit Log) che conserva traccia di ogni modifica.</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Garantire efficienza gestionale, tracciabilità informatica e trasparenza statutaria, consentendo ai soci l'accesso ai documenti sociali nel rispetto della privacy.</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38" w:name="_Toc900005038"/>
            <w:r>
              <w:t xml:space="preserve">Verbali e libri dei verbali</w:t>
            </w:r>
            <w:bookmarkEnd w:id="5038"/>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Ogni verbale è redatto in bozza; quando è reso definitivo prende il numero progressivo nell'anno nel suo libro (Assemblee o Consiglio Direttivo) e non si modifica più. Il verbale definitivo è firmato digitalmente da chi ha presieduto la seduta e dal segretario verbalizzante. Gli errori si correggono con una rettifica datata e motivata, firmata allo stesso modo (statuto, art. 25).</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Assicurare l'immodificabilità e la tracciabilità richieste dallo statuto per i libri informatici, con la stessa garanzia del libro cartaceo numerato.</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39" w:name="_Toc900005039"/>
            <w:r>
              <w:t xml:space="preserve">Data certa tramite posta elettronica certificata</w:t>
            </w:r>
            <w:bookmarkEnd w:id="5039"/>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Per dare data certa ai verbali definitivi e ai registri, il documento firmato digitalmente è inviato per posta elettronica certificata alla casella PEC dell'Associazione destinata all'archivio; la ricevuta di avvenuta consegna è conservata insieme al documento e ne attesta la data.</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La ricevuta di consegna della posta elettronica certificata ha valore legale e dà al documento una data opponibile ai terzi, senza i costi di servizi di marcatura temporale.</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40" w:name="_Toc900005040"/>
            <w:r>
              <w:t xml:space="preserve">Domicilio informatico e convocazioni telematiche</w:t>
            </w:r>
            <w:bookmarkEnd w:id="5040"/>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L'indirizzo di posta elettronica comunicato dal socio e registrato nel libro soci costituisce il domicilio informatico ufficiale. La pubblicazione dei documenti e delle convocazioni sulla piattaforma, unita all'avviso per posta elettronica, perfeziona l'invio formale; resta fermo l'invio per posta ordinaria a chi non dispone di un indirizzo di posta elettronica (statuto, art. 29).</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Ottimizzare i tempi e i costi di convocazione degli organi sociali, superando il formalismo cartaceo e garantendo la certezza giuridica delle comunicazioni associative.</w:t>
            </w:r>
          </w:p>
        </w:tc>
      </w:tr>
    </w:tbl>
    <w:p w:rsidR="009C08CC" w:rsidRPr="009C08CC" w:rsidRDefault="009C08CC" w:rsidP="00D46BBF">
      <w:pPr>
        <w:pStyle w:val="Titolo2"/>
      </w:pPr>
      <w:bookmarkStart w:id="5041" w:name="_Toc900005041"/>
      <w:r>
        <w:t xml:space="preserve">Gestione di Ospiti, Accompagnatori e Genitori</w:t>
      </w:r>
      <w:bookmarkEnd w:id="5041"/>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42" w:name="_Toc900005042"/>
            <w:r>
              <w:t xml:space="preserve">Limitazione degli accessi alle aree operative</w:t>
            </w:r>
            <w:bookmarkEnd w:id="5042"/>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L'accesso al campo è riservato ai soci e ai tesserati. Gli accompagnatori e i genitori dei minori possono accedere all'area sociale esclusivamente sostando nelle zone di sicurezza delimitate (club house e aree di attesa). È severamente vietato ai non tesserati l'accesso alla linea di tiro, alle piazzole e alle zone di recupero frecce durante l'attività sportiva.</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Prevenire l'intrusione di persone non formate e non assicurate nelle zone operative a rischio di impatto con le frecce, tutelando l'incolumità dei visitatori e la sicurezza delle sessioni di tiro.</w:t>
            </w:r>
          </w:p>
        </w:tc>
      </w:tr>
    </w:tbl>
    <w:p w:rsidR="009C08CC" w:rsidRPr="009C08CC" w:rsidRDefault="009C08CC" w:rsidP="009C08CC">
      <w:pPr>
        <w:pBdr>
          <w:top w:val="nil"/>
          <w:left w:val="nil"/>
          <w:bottom w:val="nil"/>
          <w:right w:val="nil"/>
          <w:between w:val="nil"/>
        </w:pBdr>
        <w:spacing w:after="0"/>
        <w:rPr>
          <w:rFonts w:asciiTheme="majorHAnsi" w:hAnsiTheme="majorHAnsi" w:cstheme="majorHAnsi"/>
        </w:rPr>
      </w:pPr>
    </w:p>
    <w:tbl>
      <w:tblPr>
        <w:tblW w:w="5000" w:type="pct"/>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5237"/>
        <w:gridCol w:w="4719"/>
      </w:tblGrid>
      <w:tr w:rsidR="009C08CC" w:rsidRPr="00462DD5" w:rsidTr="00DF5646">
        <w:trPr>
          <w:tblHeader/>
        </w:trPr>
        <w:tc>
          <w:tcPr>
            <w:tcW w:w="263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433CE6">
            <w:pPr>
              <w:pStyle w:val="Titolo3"/>
            </w:pPr>
            <w:bookmarkStart w:id="5043" w:name="_Toc900005043"/>
            <w:r>
              <w:t xml:space="preserve">Obbligo di sorveglianza sui minori</w:t>
            </w:r>
            <w:bookmarkEnd w:id="5043"/>
          </w:p>
        </w:tc>
        <w:tc>
          <w:tcPr>
            <w:tcW w:w="2370" w:type="pct"/>
            <w:tcBorders>
              <w:top w:val="single" w:sz="6" w:space="0" w:color="CBD5E0"/>
              <w:left w:val="single" w:sz="6" w:space="0" w:color="CBD5E0"/>
              <w:bottom w:val="single" w:sz="6" w:space="0" w:color="CBD5E0"/>
              <w:right w:val="single" w:sz="6" w:space="0" w:color="CBD5E0"/>
            </w:tcBorders>
            <w:shd w:val="clear" w:color="auto" w:fill="F7FAFC"/>
            <w:tcMar>
              <w:top w:w="180" w:type="dxa"/>
              <w:left w:w="180" w:type="dxa"/>
              <w:bottom w:w="180" w:type="dxa"/>
              <w:right w:w="180" w:type="dxa"/>
            </w:tcMar>
          </w:tcPr>
          <w:p w:rsidR="009C08CC" w:rsidRPr="00462DD5" w:rsidRDefault="009C08CC" w:rsidP="00D46BBF">
            <w:pPr>
              <w:pBdr>
                <w:top w:val="nil"/>
                <w:left w:val="nil"/>
                <w:bottom w:val="nil"/>
                <w:right w:val="nil"/>
                <w:between w:val="nil"/>
              </w:pBdr>
              <w:spacing w:after="0"/>
              <w:rPr>
                <w:rFonts w:asciiTheme="majorHAnsi" w:hAnsiTheme="majorHAnsi" w:cstheme="majorHAnsi"/>
                <w:b/>
                <w:smallCaps/>
                <w:color w:val="2D3748"/>
                <w:sz w:val="24"/>
                <w:szCs w:val="24"/>
              </w:rPr>
            </w:pPr>
            <w:r>
              <w:rPr>
                <w:rFonts w:asciiTheme="majorHAnsi" w:hAnsiTheme="majorHAnsi" w:cstheme="majorHAnsi"/>
                <w:b/>
                <w:smallCaps/>
                <w:color w:val="2D3748"/>
                <w:sz w:val="24"/>
                <w:szCs w:val="24"/>
              </w:rPr>
              <w:t xml:space="preserve">Perché</w:t>
            </w:r>
          </w:p>
        </w:tc>
      </w:tr>
      <w:tr w:rsidR="009C08CC" w:rsidRPr="009C08CC" w:rsidTr="00DF5646">
        <w:trPr>
          <w:cantSplit/>
        </w:trPr>
        <w:tc>
          <w:tcPr>
            <w:tcW w:w="263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9C08CC" w:rsidRDefault="009C08CC" w:rsidP="00D46BBF">
            <w:pPr>
              <w:pBdr>
                <w:top w:val="nil"/>
                <w:left w:val="nil"/>
                <w:bottom w:val="nil"/>
                <w:right w:val="nil"/>
                <w:between w:val="nil"/>
              </w:pBdr>
              <w:spacing w:after="0"/>
              <w:jc w:val="both"/>
              <w:rPr>
                <w:rFonts w:asciiTheme="majorHAnsi" w:hAnsiTheme="majorHAnsi" w:cstheme="majorHAnsi"/>
              </w:rPr>
            </w:pPr>
            <w:r>
              <w:rPr>
                <w:rFonts w:asciiTheme="majorHAnsi" w:hAnsiTheme="majorHAnsi" w:cstheme="majorHAnsi"/>
              </w:rPr>
              <w:t xml:space="preserve">I genitori o gli esercenti la responsabilità genitoriale sono tenuti alla sorveglianza diretta dei soci minorenni al di fuori dell'orario di lezione o allenamento ufficiale gestito dai tecnici. L'Associazione non risponde, nei limiti consentiti dalla legge, dei danni subiti da chi accede ad aree non autorizzate o non rispetta le regole di sicurezza.</w:t>
            </w:r>
          </w:p>
        </w:tc>
        <w:tc>
          <w:tcPr>
            <w:tcW w:w="2370" w:type="pct"/>
            <w:tcBorders>
              <w:top w:val="single" w:sz="6" w:space="0" w:color="CBD5E0"/>
              <w:left w:val="single" w:sz="6" w:space="0" w:color="CBD5E0"/>
              <w:bottom w:val="single" w:sz="6" w:space="0" w:color="CBD5E0"/>
              <w:right w:val="single" w:sz="6" w:space="0" w:color="CBD5E0"/>
            </w:tcBorders>
            <w:shd w:val="clear" w:color="auto" w:fill="auto"/>
            <w:tcMar>
              <w:top w:w="180" w:type="dxa"/>
              <w:left w:w="180" w:type="dxa"/>
              <w:bottom w:w="180" w:type="dxa"/>
              <w:right w:w="180" w:type="dxa"/>
            </w:tcMar>
          </w:tcPr>
          <w:p w:rsidR="009C08CC" w:rsidRPr="00D46BBF" w:rsidRDefault="009C08CC" w:rsidP="00D46BBF">
            <w:pPr>
              <w:pBdr>
                <w:top w:val="nil"/>
                <w:left w:val="nil"/>
                <w:bottom w:val="nil"/>
                <w:right w:val="nil"/>
                <w:between w:val="nil"/>
              </w:pBdr>
              <w:spacing w:after="0"/>
              <w:jc w:val="both"/>
              <w:rPr>
                <w:rFonts w:asciiTheme="majorHAnsi" w:hAnsiTheme="majorHAnsi" w:cstheme="majorHAnsi"/>
                <w:i/>
              </w:rPr>
            </w:pPr>
            <w:r>
              <w:rPr>
                <w:rFonts w:asciiTheme="majorHAnsi" w:hAnsiTheme="majorHAnsi" w:cstheme="majorHAnsi"/>
                <w:i/>
              </w:rPr>
              <w:t xml:space="preserve">Delimitare chiaramente le responsabilità di custodia tra i tecnici sportivi (durante le ore di lezione) e la famiglia (al di fuori dell'orario didattico), prevenendo contenziosi e responsabilizzando gli accompagnatori.</w:t>
            </w:r>
          </w:p>
        </w:tc>
      </w:tr>
    </w:tbl>
    <w:p w:rsidR="009C08CC" w:rsidRPr="009C08CC" w:rsidRDefault="009C08CC" w:rsidP="00D46BBF">
      <w:pPr>
        <w:pStyle w:val="Titolo2"/>
      </w:pPr>
      <w:bookmarkStart w:id="5044" w:name="_Toc900005044"/>
      <w:r>
        <w:t xml:space="preserve">Riferimenti Normativi</w:t>
      </w:r>
      <w:bookmarkEnd w:id="5044"/>
    </w:p>
    <w:p w:rsidR="009C08CC" w:rsidRPr="00D46BBF" w:rsidRDefault="009C08CC" w:rsidP="00BD7726">
      <w:pPr>
        <w:pStyle w:val="Paragrafoelenco"/>
        <w:widowControl w:val="0"/>
        <w:numPr>
          <w:ilvl w:val="0"/>
          <w:numId w:val="8"/>
        </w:numPr>
        <w:pBdr>
          <w:top w:val="nil"/>
          <w:left w:val="nil"/>
          <w:bottom w:val="nil"/>
          <w:right w:val="nil"/>
          <w:between w:val="nil"/>
        </w:pBdr>
        <w:spacing w:after="0" w:line="384" w:lineRule="auto"/>
        <w:ind w:left="284" w:hanging="284"/>
        <w:jc w:val="both"/>
        <w:rPr>
          <w:rFonts w:asciiTheme="majorHAnsi" w:hAnsiTheme="majorHAnsi" w:cstheme="majorHAnsi"/>
        </w:rPr>
      </w:pPr>
      <w:r>
        <w:rPr>
          <w:rFonts w:asciiTheme="majorHAnsi" w:hAnsiTheme="majorHAnsi" w:cstheme="majorHAnsi"/>
        </w:rPr>
        <w:t xml:space="preserve">Italia. (1942). Codice civile, artt. 36 e seguenti (associazioni non riconosciute) e art. 2475-ter (conflitto di interessi).</w:t>
      </w:r>
    </w:p>
    <w:p w:rsidR="009C08CC" w:rsidRPr="00D46BBF" w:rsidRDefault="009C08CC" w:rsidP="00BD7726">
      <w:pPr>
        <w:pStyle w:val="Paragrafoelenco"/>
        <w:widowControl w:val="0"/>
        <w:numPr>
          <w:ilvl w:val="0"/>
          <w:numId w:val="8"/>
        </w:numPr>
        <w:pBdr>
          <w:top w:val="nil"/>
          <w:left w:val="nil"/>
          <w:bottom w:val="nil"/>
          <w:right w:val="nil"/>
          <w:between w:val="nil"/>
        </w:pBdr>
        <w:spacing w:after="0" w:line="384" w:lineRule="auto"/>
        <w:ind w:left="284" w:hanging="284"/>
        <w:jc w:val="both"/>
        <w:rPr>
          <w:rFonts w:asciiTheme="majorHAnsi" w:hAnsiTheme="majorHAnsi" w:cstheme="majorHAnsi"/>
        </w:rPr>
      </w:pPr>
      <w:r>
        <w:rPr>
          <w:rFonts w:asciiTheme="majorHAnsi" w:hAnsiTheme="majorHAnsi" w:cstheme="majorHAnsi"/>
        </w:rPr>
        <w:t xml:space="preserve">Italia. (1986). Decreto del Presidente della Repubblica 22 dicembre 1986, n. 917: Testo unico delle imposte sui redditi, art. 148.</w:t>
      </w:r>
    </w:p>
    <w:p w:rsidR="009C08CC" w:rsidRPr="00D46BBF" w:rsidRDefault="009C08CC" w:rsidP="00BD7726">
      <w:pPr>
        <w:pStyle w:val="Paragrafoelenco"/>
        <w:widowControl w:val="0"/>
        <w:numPr>
          <w:ilvl w:val="0"/>
          <w:numId w:val="8"/>
        </w:numPr>
        <w:pBdr>
          <w:top w:val="nil"/>
          <w:left w:val="nil"/>
          <w:bottom w:val="nil"/>
          <w:right w:val="nil"/>
          <w:between w:val="nil"/>
        </w:pBdr>
        <w:spacing w:after="0" w:line="384" w:lineRule="auto"/>
        <w:ind w:left="284" w:hanging="284"/>
        <w:jc w:val="both"/>
        <w:rPr>
          <w:rFonts w:asciiTheme="majorHAnsi" w:hAnsiTheme="majorHAnsi" w:cstheme="majorHAnsi"/>
        </w:rPr>
      </w:pPr>
      <w:r>
        <w:rPr>
          <w:rFonts w:asciiTheme="majorHAnsi" w:hAnsiTheme="majorHAnsi" w:cstheme="majorHAnsi"/>
        </w:rPr>
        <w:t xml:space="preserve">Italia. (1991). Legge 16 dicembre 1991, n. 398: Disposizioni tributarie relative alle associazioni sportive dilettantistiche.</w:t>
      </w:r>
    </w:p>
    <w:p w:rsidR="009C08CC" w:rsidRPr="00D46BBF" w:rsidRDefault="009C08CC" w:rsidP="00BD7726">
      <w:pPr>
        <w:pStyle w:val="Paragrafoelenco"/>
        <w:widowControl w:val="0"/>
        <w:numPr>
          <w:ilvl w:val="0"/>
          <w:numId w:val="8"/>
        </w:numPr>
        <w:pBdr>
          <w:top w:val="nil"/>
          <w:left w:val="nil"/>
          <w:bottom w:val="nil"/>
          <w:right w:val="nil"/>
          <w:between w:val="nil"/>
        </w:pBdr>
        <w:spacing w:after="0" w:line="384" w:lineRule="auto"/>
        <w:ind w:left="284" w:hanging="284"/>
        <w:jc w:val="both"/>
        <w:rPr>
          <w:rFonts w:asciiTheme="majorHAnsi" w:hAnsiTheme="majorHAnsi" w:cstheme="majorHAnsi"/>
        </w:rPr>
      </w:pPr>
      <w:r>
        <w:rPr>
          <w:rFonts w:asciiTheme="majorHAnsi" w:hAnsiTheme="majorHAnsi" w:cstheme="majorHAnsi"/>
        </w:rPr>
        <w:t xml:space="preserve">Italia. (2002). Legge 27 dicembre 2002, n. 289: Disposizioni per la formazione del bilancio annuale e pluriennale dello Stato.</w:t>
      </w:r>
    </w:p>
    <w:p w:rsidR="009C08CC" w:rsidRPr="00D46BBF" w:rsidRDefault="009C08CC" w:rsidP="00BD7726">
      <w:pPr>
        <w:pStyle w:val="Paragrafoelenco"/>
        <w:widowControl w:val="0"/>
        <w:numPr>
          <w:ilvl w:val="0"/>
          <w:numId w:val="8"/>
        </w:numPr>
        <w:pBdr>
          <w:top w:val="nil"/>
          <w:left w:val="nil"/>
          <w:bottom w:val="nil"/>
          <w:right w:val="nil"/>
          <w:between w:val="nil"/>
        </w:pBdr>
        <w:spacing w:after="0" w:line="384" w:lineRule="auto"/>
        <w:ind w:left="284" w:hanging="284"/>
        <w:jc w:val="both"/>
        <w:rPr>
          <w:rFonts w:asciiTheme="majorHAnsi" w:hAnsiTheme="majorHAnsi" w:cstheme="majorHAnsi"/>
        </w:rPr>
      </w:pPr>
      <w:r>
        <w:rPr>
          <w:rFonts w:asciiTheme="majorHAnsi" w:hAnsiTheme="majorHAnsi" w:cstheme="majorHAnsi"/>
        </w:rPr>
        <w:t xml:space="preserve">Italia. (2005). Decreto Legislativo 7 marzo 2005, n. 82: Codice dell'amministrazione digitale (firma digitale e posta elettronica certificata).</w:t>
      </w:r>
    </w:p>
    <w:p w:rsidR="009C08CC" w:rsidRPr="00D46BBF" w:rsidRDefault="009C08CC" w:rsidP="00BD7726">
      <w:pPr>
        <w:pStyle w:val="Paragrafoelenco"/>
        <w:widowControl w:val="0"/>
        <w:numPr>
          <w:ilvl w:val="0"/>
          <w:numId w:val="8"/>
        </w:numPr>
        <w:pBdr>
          <w:top w:val="nil"/>
          <w:left w:val="nil"/>
          <w:bottom w:val="nil"/>
          <w:right w:val="nil"/>
          <w:between w:val="nil"/>
        </w:pBdr>
        <w:spacing w:after="0" w:line="384" w:lineRule="auto"/>
        <w:ind w:left="284" w:hanging="284"/>
        <w:jc w:val="both"/>
        <w:rPr>
          <w:rFonts w:asciiTheme="majorHAnsi" w:hAnsiTheme="majorHAnsi" w:cstheme="majorHAnsi"/>
        </w:rPr>
      </w:pPr>
      <w:r>
        <w:rPr>
          <w:rFonts w:asciiTheme="majorHAnsi" w:hAnsiTheme="majorHAnsi" w:cstheme="majorHAnsi"/>
        </w:rPr>
        <w:t xml:space="preserve">Italia. (2021). Decreto Legislativo 28 febbraio 2021, n. 36: Attuazione della riforma dello sport.</w:t>
      </w:r>
    </w:p>
    <w:p w:rsidR="009C08CC" w:rsidRPr="00D46BBF" w:rsidRDefault="009C08CC" w:rsidP="00BD7726">
      <w:pPr>
        <w:pStyle w:val="Paragrafoelenco"/>
        <w:widowControl w:val="0"/>
        <w:numPr>
          <w:ilvl w:val="0"/>
          <w:numId w:val="8"/>
        </w:numPr>
        <w:pBdr>
          <w:top w:val="nil"/>
          <w:left w:val="nil"/>
          <w:bottom w:val="nil"/>
          <w:right w:val="nil"/>
          <w:between w:val="nil"/>
        </w:pBdr>
        <w:spacing w:after="0" w:line="384" w:lineRule="auto"/>
        <w:ind w:left="284" w:hanging="284"/>
        <w:jc w:val="both"/>
        <w:rPr>
          <w:rFonts w:asciiTheme="majorHAnsi" w:hAnsiTheme="majorHAnsi" w:cstheme="majorHAnsi"/>
        </w:rPr>
      </w:pPr>
      <w:r>
        <w:rPr>
          <w:rFonts w:asciiTheme="majorHAnsi" w:hAnsiTheme="majorHAnsi" w:cstheme="majorHAnsi"/>
        </w:rPr>
        <w:t xml:space="preserve">Italia. (2021). Decreto Legislativo 28 febbraio 2021, n. 39: Semplificazione degli adempimenti relativi agli organismi sportivi e tutela dei minori.</w:t>
      </w:r>
    </w:p>
    <w:p w:rsidR="009C08CC" w:rsidRPr="00D46BBF" w:rsidRDefault="009C08CC" w:rsidP="00BD7726">
      <w:pPr>
        <w:pStyle w:val="Paragrafoelenco"/>
        <w:widowControl w:val="0"/>
        <w:numPr>
          <w:ilvl w:val="0"/>
          <w:numId w:val="8"/>
        </w:numPr>
        <w:pBdr>
          <w:top w:val="nil"/>
          <w:left w:val="nil"/>
          <w:bottom w:val="nil"/>
          <w:right w:val="nil"/>
          <w:between w:val="nil"/>
        </w:pBdr>
        <w:spacing w:after="0" w:line="384" w:lineRule="auto"/>
        <w:ind w:left="284" w:hanging="284"/>
        <w:jc w:val="both"/>
        <w:rPr>
          <w:rFonts w:asciiTheme="majorHAnsi" w:hAnsiTheme="majorHAnsi" w:cstheme="majorHAnsi"/>
        </w:rPr>
      </w:pPr>
      <w:r>
        <w:rPr>
          <w:rFonts w:asciiTheme="majorHAnsi" w:hAnsiTheme="majorHAnsi" w:cstheme="majorHAnsi"/>
        </w:rPr>
        <w:t xml:space="preserve">Italia. (2023). Decreto Legislativo 10 marzo 2023, n. 24: Attuazione della direttiva (UE) 2019/1937 riguardante il whistleblowing.</w:t>
      </w:r>
    </w:p>
    <w:p w:rsidR="009C08CC" w:rsidRPr="00D46BBF" w:rsidRDefault="009C08CC" w:rsidP="00BD7726">
      <w:pPr>
        <w:pStyle w:val="Paragrafoelenco"/>
        <w:widowControl w:val="0"/>
        <w:numPr>
          <w:ilvl w:val="0"/>
          <w:numId w:val="8"/>
        </w:numPr>
        <w:pBdr>
          <w:top w:val="nil"/>
          <w:left w:val="nil"/>
          <w:bottom w:val="nil"/>
          <w:right w:val="nil"/>
          <w:between w:val="nil"/>
        </w:pBdr>
        <w:spacing w:after="0" w:line="384" w:lineRule="auto"/>
        <w:ind w:left="284" w:hanging="284"/>
        <w:jc w:val="both"/>
        <w:rPr>
          <w:rFonts w:asciiTheme="majorHAnsi" w:hAnsiTheme="majorHAnsi" w:cstheme="majorHAnsi"/>
        </w:rPr>
      </w:pPr>
      <w:r>
        <w:rPr>
          <w:rFonts w:asciiTheme="majorHAnsi" w:hAnsiTheme="majorHAnsi" w:cstheme="majorHAnsi"/>
        </w:rPr>
        <w:t xml:space="preserve">Unione Europea. (2016). Regolamento (UE) 2016/679 del Parlamento europeo e del Consiglio, del 27 aprile 2016, relativo alla protezione delle persone fisiche con riguardo al trattamento dei dati personali (GDPR).</w:t>
      </w:r>
    </w:p>
    <w:sectPr w:rsidR="003202C6" w:rsidRPr="009C08CC" w:rsidSect="003202C6">
      <w:headerReference w:type="default" r:id="rId8"/>
      <w:footerReference w:type="default" r:id="rId9"/>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84CD7" w:rsidRDefault="00C84CD7" w:rsidP="00B771AD">
      <w:pPr>
        <w:spacing w:after="0" w:line="240" w:lineRule="auto"/>
      </w:pPr>
      <w:r>
        <w:separator/>
      </w:r>
    </w:p>
  </w:endnote>
  <w:endnote w:type="continuationSeparator" w:id="0">
    <w:p w:rsidR="00C84CD7" w:rsidRDefault="00C84CD7" w:rsidP="00B771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1747" w:rsidRPr="00292EBF" w:rsidRDefault="00292EBF" w:rsidP="003B136A">
    <w:pPr>
      <w:pStyle w:val="NormaleWeb"/>
      <w:spacing w:before="360" w:beforeAutospacing="0" w:after="0" w:afterAutospacing="0"/>
      <w:jc w:val="right"/>
      <w:rPr>
        <w:rFonts w:ascii="Calibri" w:hAnsi="Calibri" w:cs="Calibri"/>
        <w:color w:val="A6A6A6" w:themeColor="background1" w:themeShade="A6"/>
        <w:sz w:val="20"/>
        <w:szCs w:val="20"/>
      </w:rPr>
    </w:pPr>
    <w:r w:rsidRPr="00292EBF">
      <w:rPr>
        <w:rFonts w:ascii="Calibri" w:hAnsi="Calibri" w:cs="Calibri"/>
        <w:color w:val="A6A6A6" w:themeColor="background1" w:themeShade="A6"/>
        <w:sz w:val="20"/>
        <w:szCs w:val="20"/>
      </w:rPr>
      <w:t xml:space="preserve">Pag. </w:t>
    </w:r>
    <w:r w:rsidRPr="00292EBF">
      <w:rPr>
        <w:rFonts w:ascii="Calibri" w:hAnsi="Calibri" w:cs="Calibri"/>
        <w:color w:val="A6A6A6" w:themeColor="background1" w:themeShade="A6"/>
        <w:sz w:val="20"/>
        <w:szCs w:val="20"/>
      </w:rPr>
      <w:fldChar w:fldCharType="begin"/>
    </w:r>
    <w:r w:rsidRPr="00292EBF">
      <w:rPr>
        <w:rFonts w:ascii="Calibri" w:hAnsi="Calibri" w:cs="Calibri"/>
        <w:color w:val="A6A6A6" w:themeColor="background1" w:themeShade="A6"/>
        <w:sz w:val="20"/>
        <w:szCs w:val="20"/>
      </w:rPr>
      <w:instrText>PAGE   \* MERGEFORMAT</w:instrText>
    </w:r>
    <w:r w:rsidRPr="00292EBF">
      <w:rPr>
        <w:rFonts w:ascii="Calibri" w:hAnsi="Calibri" w:cs="Calibri"/>
        <w:color w:val="A6A6A6" w:themeColor="background1" w:themeShade="A6"/>
        <w:sz w:val="20"/>
        <w:szCs w:val="20"/>
      </w:rPr>
      <w:fldChar w:fldCharType="separate"/>
    </w:r>
    <w:r w:rsidRPr="00292EBF">
      <w:rPr>
        <w:rFonts w:ascii="Calibri" w:hAnsi="Calibri" w:cs="Calibri"/>
        <w:color w:val="A6A6A6" w:themeColor="background1" w:themeShade="A6"/>
        <w:sz w:val="20"/>
        <w:szCs w:val="20"/>
      </w:rPr>
      <w:t>1</w:t>
    </w:r>
    <w:r w:rsidRPr="00292EBF">
      <w:rPr>
        <w:rFonts w:ascii="Calibri" w:hAnsi="Calibri" w:cs="Calibri"/>
        <w:color w:val="A6A6A6" w:themeColor="background1" w:themeShade="A6"/>
        <w:sz w:val="20"/>
        <w:szCs w:val="20"/>
      </w:rPr>
      <w:fldChar w:fldCharType="end"/>
    </w:r>
    <w:r w:rsidRPr="00292EBF">
      <w:rPr>
        <w:rFonts w:ascii="Calibri" w:hAnsi="Calibri" w:cs="Calibri"/>
        <w:color w:val="A6A6A6" w:themeColor="background1" w:themeShade="A6"/>
        <w:sz w:val="20"/>
        <w:szCs w:val="20"/>
      </w:rPr>
      <w:t>/</w:t>
    </w:r>
    <w:r>
      <w:rPr>
        <w:rFonts w:ascii="Calibri" w:hAnsi="Calibri" w:cs="Calibri"/>
        <w:color w:val="A6A6A6" w:themeColor="background1" w:themeShade="A6"/>
        <w:sz w:val="20"/>
        <w:szCs w:val="20"/>
      </w:rPr>
      <w:fldChar w:fldCharType="begin"/>
    </w:r>
    <w:r>
      <w:rPr>
        <w:rFonts w:ascii="Calibri" w:hAnsi="Calibri" w:cs="Calibri"/>
        <w:color w:val="A6A6A6" w:themeColor="background1" w:themeShade="A6"/>
        <w:sz w:val="20"/>
        <w:szCs w:val="20"/>
      </w:rPr>
      <w:instrText xml:space="preserve"> NUMPAGES  \* Arabic  \* MERGEFORMAT </w:instrText>
    </w:r>
    <w:r>
      <w:rPr>
        <w:rFonts w:ascii="Calibri" w:hAnsi="Calibri" w:cs="Calibri"/>
        <w:color w:val="A6A6A6" w:themeColor="background1" w:themeShade="A6"/>
        <w:sz w:val="20"/>
        <w:szCs w:val="20"/>
      </w:rPr>
      <w:fldChar w:fldCharType="separate"/>
    </w:r>
    <w:r>
      <w:rPr>
        <w:rFonts w:ascii="Calibri" w:hAnsi="Calibri" w:cs="Calibri"/>
        <w:noProof/>
        <w:color w:val="A6A6A6" w:themeColor="background1" w:themeShade="A6"/>
        <w:sz w:val="20"/>
        <w:szCs w:val="20"/>
      </w:rPr>
      <w:t>9</w:t>
    </w:r>
    <w:r>
      <w:rPr>
        <w:rFonts w:ascii="Calibri" w:hAnsi="Calibri" w:cs="Calibri"/>
        <w:color w:val="A6A6A6" w:themeColor="background1" w:themeShade="A6"/>
        <w:sz w:val="20"/>
        <w:szCs w:val="20"/>
      </w:rPr>
      <w:fldChar w:fldCharType="end"/>
    </w:r>
  </w:p>
  <w:p w:rsidR="00B771AD" w:rsidRPr="00331747" w:rsidRDefault="00B771AD" w:rsidP="00331747">
    <w:pPr>
      <w:pStyle w:val="NormaleWeb"/>
      <w:pBdr>
        <w:top w:val="single" w:sz="4" w:space="1" w:color="A6A6A6" w:themeColor="background1" w:themeShade="A6"/>
      </w:pBdr>
      <w:spacing w:before="0" w:beforeAutospacing="0" w:after="0" w:afterAutospacing="0"/>
      <w:jc w:val="center"/>
      <w:rPr>
        <w:color w:val="A6A6A6" w:themeColor="background1" w:themeShade="A6"/>
      </w:rPr>
    </w:pPr>
    <w:r w:rsidRPr="00331747">
      <w:rPr>
        <w:rFonts w:ascii="Calibri" w:hAnsi="Calibri" w:cs="Calibri"/>
        <w:color w:val="A6A6A6" w:themeColor="background1" w:themeShade="A6"/>
        <w:sz w:val="20"/>
        <w:szCs w:val="20"/>
      </w:rPr>
      <w:t>B.A.S. Compagnia Arcieri Castel Viscardo</w:t>
    </w:r>
  </w:p>
  <w:p w:rsidR="00490A6E" w:rsidRPr="00331747" w:rsidRDefault="00490A6E" w:rsidP="00B771AD">
    <w:pPr>
      <w:pStyle w:val="NormaleWeb"/>
      <w:spacing w:before="0" w:beforeAutospacing="0" w:after="0" w:afterAutospacing="0"/>
      <w:jc w:val="center"/>
      <w:rPr>
        <w:color w:val="A6A6A6" w:themeColor="background1" w:themeShade="A6"/>
      </w:rPr>
    </w:pPr>
    <w:r w:rsidRPr="00331747">
      <w:rPr>
        <w:rFonts w:ascii="Calibri" w:hAnsi="Calibri" w:cs="Calibri"/>
        <w:color w:val="A6A6A6" w:themeColor="background1" w:themeShade="A6"/>
        <w:sz w:val="20"/>
        <w:szCs w:val="20"/>
      </w:rPr>
      <w:t xml:space="preserve">SS 107 Campo di tiro "Franco </w:t>
    </w:r>
    <w:proofErr w:type="spellStart"/>
    <w:r w:rsidRPr="00331747">
      <w:rPr>
        <w:rFonts w:ascii="Calibri" w:hAnsi="Calibri" w:cs="Calibri"/>
        <w:color w:val="A6A6A6" w:themeColor="background1" w:themeShade="A6"/>
        <w:sz w:val="20"/>
        <w:szCs w:val="20"/>
      </w:rPr>
      <w:t>Cortignani</w:t>
    </w:r>
    <w:proofErr w:type="spellEnd"/>
    <w:r w:rsidRPr="00331747">
      <w:rPr>
        <w:rFonts w:ascii="Calibri" w:hAnsi="Calibri" w:cs="Calibri"/>
        <w:color w:val="A6A6A6" w:themeColor="background1" w:themeShade="A6"/>
        <w:sz w:val="20"/>
        <w:szCs w:val="20"/>
      </w:rPr>
      <w:t>", località Macchietto, Viceno, 05014 Castel Viscardo (TR).</w:t>
    </w:r>
    <w:r w:rsidRPr="00331747">
      <w:rPr>
        <w:color w:val="A6A6A6" w:themeColor="background1" w:themeShade="A6"/>
      </w:rPr>
      <w:t xml:space="preserve"> </w:t>
    </w:r>
  </w:p>
  <w:p w:rsidR="00B771AD" w:rsidRPr="00331747" w:rsidRDefault="00490A6E" w:rsidP="00B771AD">
    <w:pPr>
      <w:pStyle w:val="NormaleWeb"/>
      <w:spacing w:before="0" w:beforeAutospacing="0" w:after="0" w:afterAutospacing="0"/>
      <w:jc w:val="center"/>
      <w:rPr>
        <w:color w:val="A6A6A6" w:themeColor="background1" w:themeShade="A6"/>
      </w:rPr>
    </w:pPr>
    <w:r w:rsidRPr="00331747">
      <w:rPr>
        <w:rFonts w:ascii="Calibri" w:hAnsi="Calibri" w:cs="Calibri"/>
        <w:color w:val="A6A6A6" w:themeColor="background1" w:themeShade="A6"/>
        <w:sz w:val="20"/>
        <w:szCs w:val="20"/>
      </w:rPr>
      <w:t>arciericastello.it info - @arciericastello.it</w:t>
    </w:r>
    <w:r w:rsidR="00B771AD" w:rsidRPr="00331747">
      <w:rPr>
        <w:color w:val="A6A6A6" w:themeColor="background1" w:themeShade="A6"/>
      </w:rPr>
      <w:t xml:space="preserve"> - </w:t>
    </w:r>
    <w:r w:rsidR="00B771AD" w:rsidRPr="00331747">
      <w:rPr>
        <w:rFonts w:ascii="Calibri" w:hAnsi="Calibri" w:cs="Calibri"/>
        <w:color w:val="A6A6A6" w:themeColor="background1" w:themeShade="A6"/>
        <w:sz w:val="20"/>
        <w:szCs w:val="20"/>
      </w:rPr>
      <w:t>328 5944909</w:t>
    </w:r>
  </w:p>
  <w:p w:rsidR="00B771AD" w:rsidRDefault="00B771A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84CD7" w:rsidRDefault="00C84CD7" w:rsidP="00B771AD">
      <w:pPr>
        <w:spacing w:after="0" w:line="240" w:lineRule="auto"/>
      </w:pPr>
      <w:r>
        <w:separator/>
      </w:r>
    </w:p>
  </w:footnote>
  <w:footnote w:type="continuationSeparator" w:id="0">
    <w:p w:rsidR="00C84CD7" w:rsidRDefault="00C84CD7" w:rsidP="00B771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2"/>
      <w:gridCol w:w="4110"/>
      <w:gridCol w:w="4110"/>
    </w:tblGrid>
    <w:tr w:rsidR="00693D32" w:rsidTr="00693D32">
      <w:tc>
        <w:tcPr>
          <w:tcW w:w="878" w:type="pct"/>
        </w:tcPr>
        <w:p w:rsidR="00693D32" w:rsidRDefault="00693D32" w:rsidP="00490A6E">
          <w:pPr>
            <w:pStyle w:val="Intestazione"/>
            <w:rPr>
              <w:rFonts w:asciiTheme="majorHAnsi" w:hAnsiTheme="majorHAnsi" w:cstheme="majorHAnsi"/>
            </w:rPr>
          </w:pPr>
          <w:r>
            <w:rPr>
              <w:noProof/>
            </w:rPr>
            <w:drawing>
              <wp:inline distT="0" distB="0" distL="0" distR="0" wp14:anchorId="15223B43" wp14:editId="5D4843F8">
                <wp:extent cx="878400" cy="720000"/>
                <wp:effectExtent l="0" t="0" r="0" b="444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arcieri Castel Viscardo.png"/>
                        <pic:cNvPicPr/>
                      </pic:nvPicPr>
                      <pic:blipFill>
                        <a:blip r:embed="rId1"/>
                        <a:stretch>
                          <a:fillRect/>
                        </a:stretch>
                      </pic:blipFill>
                      <pic:spPr>
                        <a:xfrm>
                          <a:off x="0" y="0"/>
                          <a:ext cx="878400" cy="720000"/>
                        </a:xfrm>
                        <a:prstGeom prst="rect">
                          <a:avLst/>
                        </a:prstGeom>
                      </pic:spPr>
                    </pic:pic>
                  </a:graphicData>
                </a:graphic>
              </wp:inline>
            </w:drawing>
          </w:r>
        </w:p>
      </w:tc>
      <w:tc>
        <w:tcPr>
          <w:tcW w:w="2061" w:type="pct"/>
          <w:vAlign w:val="center"/>
        </w:tcPr>
        <w:p w:rsidR="00693D32" w:rsidRPr="00490A6E" w:rsidRDefault="00693D32" w:rsidP="00490A6E">
          <w:pPr>
            <w:pStyle w:val="Intestazione"/>
            <w:rPr>
              <w:rFonts w:asciiTheme="majorHAnsi" w:hAnsiTheme="majorHAnsi" w:cstheme="majorHAnsi"/>
              <w:i/>
            </w:rPr>
          </w:pPr>
          <w:r w:rsidRPr="00490A6E">
            <w:rPr>
              <w:rFonts w:asciiTheme="majorHAnsi" w:hAnsiTheme="majorHAnsi" w:cstheme="majorHAnsi"/>
              <w:i/>
            </w:rPr>
            <w:t>Base Associativa Sportiva</w:t>
          </w:r>
        </w:p>
        <w:p w:rsidR="00693D32" w:rsidRPr="00490A6E" w:rsidRDefault="00693D32" w:rsidP="00490A6E">
          <w:pPr>
            <w:pStyle w:val="Intestazione"/>
            <w:rPr>
              <w:rFonts w:asciiTheme="majorHAnsi" w:hAnsiTheme="majorHAnsi" w:cstheme="majorHAnsi"/>
              <w:b/>
            </w:rPr>
          </w:pPr>
          <w:r w:rsidRPr="00490A6E">
            <w:rPr>
              <w:rFonts w:asciiTheme="majorHAnsi" w:hAnsiTheme="majorHAnsi" w:cstheme="majorHAnsi"/>
              <w:b/>
            </w:rPr>
            <w:t>Compagnia Arcieri Castel Viscardo</w:t>
          </w:r>
        </w:p>
      </w:tc>
      <w:tc>
        <w:tcPr>
          <w:tcW w:w="2061" w:type="pct"/>
          <w:vAlign w:val="center"/>
        </w:tcPr>
        <w:p w:rsidR="00693D32" w:rsidRPr="00292EBF" w:rsidRDefault="00693D32" w:rsidP="00693D32">
          <w:pPr>
            <w:pStyle w:val="Intestazione"/>
            <w:jc w:val="right"/>
            <w:rPr>
              <w:rFonts w:asciiTheme="majorHAnsi" w:hAnsiTheme="majorHAnsi" w:cstheme="majorHAnsi"/>
              <w:i/>
              <w:color w:val="A6A6A6" w:themeColor="background1" w:themeShade="A6"/>
              <w:sz w:val="20"/>
              <w:szCs w:val="20"/>
            </w:rPr>
          </w:pPr>
          <w:r w:rsidRPr="00292EBF">
            <w:rPr>
              <w:rFonts w:asciiTheme="majorHAnsi" w:hAnsiTheme="majorHAnsi" w:cstheme="majorHAnsi"/>
              <w:i/>
              <w:color w:val="A6A6A6" w:themeColor="background1" w:themeShade="A6"/>
              <w:sz w:val="20"/>
              <w:szCs w:val="20"/>
            </w:rPr>
            <w:t>Regolamento Interno</w:t>
          </w:r>
          <w:r w:rsidRPr="00292EBF">
            <w:rPr>
              <w:rFonts w:asciiTheme="majorHAnsi" w:hAnsiTheme="majorHAnsi" w:cstheme="majorHAnsi"/>
              <w:i/>
              <w:color w:val="A6A6A6" w:themeColor="background1" w:themeShade="A6"/>
              <w:sz w:val="20"/>
              <w:szCs w:val="20"/>
            </w:rPr>
            <w:br/>
            <w:t>v. 1.1 del 21/10/2026</w:t>
          </w:r>
          <w:r w:rsidR="00292EBF" w:rsidRPr="00292EBF">
            <w:rPr>
              <w:rFonts w:asciiTheme="majorHAnsi" w:hAnsiTheme="majorHAnsi" w:cstheme="majorHAnsi"/>
              <w:i/>
              <w:color w:val="A6A6A6" w:themeColor="background1" w:themeShade="A6"/>
              <w:sz w:val="20"/>
              <w:szCs w:val="20"/>
            </w:rPr>
            <w:br/>
          </w:r>
          <w:r w:rsidR="00292EBF" w:rsidRPr="00292EBF">
            <w:rPr>
              <w:rFonts w:asciiTheme="majorHAnsi" w:hAnsiTheme="majorHAnsi" w:cstheme="majorHAnsi"/>
              <w:i/>
              <w:color w:val="A6A6A6" w:themeColor="background1" w:themeShade="A6"/>
              <w:sz w:val="20"/>
              <w:szCs w:val="20"/>
            </w:rPr>
            <w:fldChar w:fldCharType="begin"/>
          </w:r>
          <w:r w:rsidR="00292EBF" w:rsidRPr="00292EBF">
            <w:rPr>
              <w:rFonts w:asciiTheme="majorHAnsi" w:hAnsiTheme="majorHAnsi" w:cstheme="majorHAnsi"/>
              <w:i/>
              <w:color w:val="A6A6A6" w:themeColor="background1" w:themeShade="A6"/>
              <w:sz w:val="20"/>
              <w:szCs w:val="20"/>
            </w:rPr>
            <w:instrText xml:space="preserve"> FILENAME  \* Lower  \* MERGEFORMAT </w:instrText>
          </w:r>
          <w:r w:rsidR="00292EBF" w:rsidRPr="00292EBF">
            <w:rPr>
              <w:rFonts w:asciiTheme="majorHAnsi" w:hAnsiTheme="majorHAnsi" w:cstheme="majorHAnsi"/>
              <w:i/>
              <w:color w:val="A6A6A6" w:themeColor="background1" w:themeShade="A6"/>
              <w:sz w:val="20"/>
              <w:szCs w:val="20"/>
            </w:rPr>
            <w:fldChar w:fldCharType="separate"/>
          </w:r>
          <w:r w:rsidR="003B136A">
            <w:rPr>
              <w:rFonts w:asciiTheme="majorHAnsi" w:hAnsiTheme="majorHAnsi" w:cstheme="majorHAnsi"/>
              <w:i/>
              <w:noProof/>
              <w:color w:val="A6A6A6" w:themeColor="background1" w:themeShade="A6"/>
              <w:sz w:val="20"/>
              <w:szCs w:val="20"/>
            </w:rPr>
            <w:t>bas-regolamento_interno-v.1.1.docx</w:t>
          </w:r>
          <w:r w:rsidR="00292EBF" w:rsidRPr="00292EBF">
            <w:rPr>
              <w:rFonts w:asciiTheme="majorHAnsi" w:hAnsiTheme="majorHAnsi" w:cstheme="majorHAnsi"/>
              <w:i/>
              <w:color w:val="A6A6A6" w:themeColor="background1" w:themeShade="A6"/>
              <w:sz w:val="20"/>
              <w:szCs w:val="20"/>
            </w:rPr>
            <w:fldChar w:fldCharType="end"/>
          </w:r>
        </w:p>
      </w:tc>
    </w:tr>
  </w:tbl>
  <w:p w:rsidR="00490A6E" w:rsidRPr="00490A6E" w:rsidRDefault="00490A6E" w:rsidP="00490A6E">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6" w15:restartNumberingAfterBreak="0">
    <w:nsid w:val="0F821069"/>
    <w:multiLevelType w:val="multilevel"/>
    <w:tmpl w:val="8FBCA304"/>
    <w:lvl w:ilvl="0">
      <w:start w:val="1"/>
      <w:numFmt w:val="decimal"/>
      <w:lvlText w:val="%1."/>
      <w:lvlJc w:val="left"/>
      <w:pPr>
        <w:ind w:left="720" w:hanging="360"/>
      </w:pPr>
    </w:lvl>
    <w:lvl w:ilvl="1">
      <w:start w:val="1"/>
      <w:numFmt w:val="decimal"/>
      <w:pStyle w:val="Titolo2"/>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70077D8F"/>
    <w:multiLevelType w:val="hybridMultilevel"/>
    <w:tmpl w:val="5C686E0C"/>
    <w:lvl w:ilvl="0" w:tplc="61C2CABC">
      <w:start w:val="1"/>
      <w:numFmt w:val="bullet"/>
      <w:lvlText w:val="•"/>
      <w:lvlJc w:val="left"/>
      <w:pPr>
        <w:ind w:left="720" w:hanging="360"/>
      </w:pPr>
      <w:rPr>
        <w:rFonts w:ascii="Calibri" w:eastAsiaTheme="maj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5D9"/>
    <w:rsid w:val="0015074B"/>
    <w:rsid w:val="00172234"/>
    <w:rsid w:val="001C71BC"/>
    <w:rsid w:val="001E24ED"/>
    <w:rsid w:val="00292EBF"/>
    <w:rsid w:val="0029639D"/>
    <w:rsid w:val="003202C6"/>
    <w:rsid w:val="00326F90"/>
    <w:rsid w:val="00331747"/>
    <w:rsid w:val="003B136A"/>
    <w:rsid w:val="00433CE6"/>
    <w:rsid w:val="004446D4"/>
    <w:rsid w:val="00462DD5"/>
    <w:rsid w:val="00490A6E"/>
    <w:rsid w:val="004C2FB9"/>
    <w:rsid w:val="00511EF4"/>
    <w:rsid w:val="00693D32"/>
    <w:rsid w:val="00824374"/>
    <w:rsid w:val="008244C8"/>
    <w:rsid w:val="009C08CC"/>
    <w:rsid w:val="009D775E"/>
    <w:rsid w:val="00A02FCD"/>
    <w:rsid w:val="00A56164"/>
    <w:rsid w:val="00AA1D8D"/>
    <w:rsid w:val="00B47730"/>
    <w:rsid w:val="00B771AD"/>
    <w:rsid w:val="00BD7726"/>
    <w:rsid w:val="00C84CD7"/>
    <w:rsid w:val="00CB0664"/>
    <w:rsid w:val="00D444A0"/>
    <w:rsid w:val="00D46BBF"/>
    <w:rsid w:val="00DB6F22"/>
    <w:rsid w:val="00DF1CDD"/>
    <w:rsid w:val="00DF5646"/>
    <w:rsid w:val="00E94C0C"/>
    <w:rsid w:val="00ED4586"/>
    <w:rsid w:val="00FB59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E7DA68D"/>
  <w14:defaultImageDpi w14:val="300"/>
  <w15:docId w15:val="{8C45F45D-4C33-476A-803E-12B8BBBA1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FC693F"/>
    <w:rPr>
      <w:lang w:val="it-IT"/>
    </w:rPr>
  </w:style>
  <w:style w:type="paragraph" w:styleId="Titolo1">
    <w:name w:val="heading 1"/>
    <w:basedOn w:val="Normale"/>
    <w:next w:val="Normale"/>
    <w:link w:val="Titolo1Carattere"/>
    <w:uiPriority w:val="9"/>
    <w:qFormat/>
    <w:rsid w:val="003202C6"/>
    <w:pPr>
      <w:keepNext/>
      <w:keepLines/>
      <w:spacing w:before="480" w:after="480"/>
      <w:jc w:val="center"/>
      <w:outlineLvl w:val="0"/>
    </w:pPr>
    <w:rPr>
      <w:rFonts w:asciiTheme="majorHAnsi" w:eastAsiaTheme="majorEastAsia" w:hAnsiTheme="majorHAnsi" w:cstheme="majorBidi"/>
      <w:b/>
      <w:bCs/>
      <w:sz w:val="28"/>
      <w:szCs w:val="28"/>
    </w:rPr>
  </w:style>
  <w:style w:type="paragraph" w:styleId="Titolo2">
    <w:name w:val="heading 2"/>
    <w:basedOn w:val="Normale"/>
    <w:next w:val="Normale"/>
    <w:link w:val="Titolo2Carattere"/>
    <w:uiPriority w:val="9"/>
    <w:unhideWhenUsed/>
    <w:qFormat/>
    <w:rsid w:val="00D46BBF"/>
    <w:pPr>
      <w:keepNext/>
      <w:keepLines/>
      <w:numPr>
        <w:ilvl w:val="1"/>
        <w:numId w:val="7"/>
      </w:numPr>
      <w:spacing w:before="240" w:after="0"/>
      <w:ind w:left="284" w:hanging="284"/>
      <w:outlineLvl w:val="1"/>
    </w:pPr>
    <w:rPr>
      <w:rFonts w:asciiTheme="majorHAnsi" w:eastAsiaTheme="majorEastAsia" w:hAnsiTheme="majorHAnsi" w:cstheme="majorHAnsi"/>
      <w:b/>
      <w:bCs/>
      <w:sz w:val="26"/>
      <w:szCs w:val="26"/>
    </w:rPr>
  </w:style>
  <w:style w:type="paragraph" w:styleId="Titolo3">
    <w:name w:val="heading 3"/>
    <w:basedOn w:val="Normale"/>
    <w:next w:val="Normale"/>
    <w:link w:val="Titolo3Carattere"/>
    <w:uiPriority w:val="9"/>
    <w:unhideWhenUsed/>
    <w:qFormat/>
    <w:rsid w:val="00433CE6"/>
    <w:pPr>
      <w:pBdr>
        <w:top w:val="nil"/>
        <w:left w:val="nil"/>
        <w:bottom w:val="nil"/>
        <w:right w:val="nil"/>
        <w:between w:val="nil"/>
      </w:pBdr>
      <w:spacing w:after="0"/>
      <w:outlineLvl w:val="2"/>
    </w:pPr>
    <w:rPr>
      <w:rFonts w:asciiTheme="majorHAnsi" w:hAnsiTheme="majorHAnsi" w:cstheme="majorHAnsi"/>
      <w:b/>
      <w:smallCaps/>
      <w:color w:val="2D3748"/>
      <w:sz w:val="24"/>
      <w:szCs w:val="24"/>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3202C6"/>
    <w:rPr>
      <w:rFonts w:asciiTheme="majorHAnsi" w:eastAsiaTheme="majorEastAsia" w:hAnsiTheme="majorHAnsi" w:cstheme="majorBidi"/>
      <w:b/>
      <w:bCs/>
      <w:sz w:val="28"/>
      <w:szCs w:val="28"/>
    </w:rPr>
  </w:style>
  <w:style w:type="character" w:customStyle="1" w:styleId="Titolo2Carattere">
    <w:name w:val="Titolo 2 Carattere"/>
    <w:basedOn w:val="Carpredefinitoparagrafo"/>
    <w:link w:val="Titolo2"/>
    <w:uiPriority w:val="9"/>
    <w:rsid w:val="00D46BBF"/>
    <w:rPr>
      <w:rFonts w:asciiTheme="majorHAnsi" w:eastAsiaTheme="majorEastAsia" w:hAnsiTheme="majorHAnsi" w:cstheme="majorHAnsi"/>
      <w:b/>
      <w:bCs/>
      <w:sz w:val="26"/>
      <w:szCs w:val="26"/>
      <w:lang w:val="it-IT"/>
    </w:rPr>
  </w:style>
  <w:style w:type="character" w:customStyle="1" w:styleId="Titolo3Carattere">
    <w:name w:val="Titolo 3 Carattere"/>
    <w:basedOn w:val="Carpredefinitoparagrafo"/>
    <w:link w:val="Titolo3"/>
    <w:uiPriority w:val="9"/>
    <w:rsid w:val="00433CE6"/>
    <w:rPr>
      <w:rFonts w:asciiTheme="majorHAnsi" w:hAnsiTheme="majorHAnsi" w:cstheme="majorHAnsi"/>
      <w:b/>
      <w:smallCaps/>
      <w:color w:val="2D3748"/>
      <w:sz w:val="24"/>
      <w:szCs w:val="24"/>
      <w:lang w:val="it-IT"/>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4"/>
      </w:numPr>
      <w:contextualSpacing/>
    </w:pPr>
  </w:style>
  <w:style w:type="paragraph" w:styleId="Numeroelenco2">
    <w:name w:val="List Number 2"/>
    <w:basedOn w:val="Normale"/>
    <w:uiPriority w:val="99"/>
    <w:unhideWhenUsed/>
    <w:rsid w:val="0029639D"/>
    <w:pPr>
      <w:numPr>
        <w:numId w:val="5"/>
      </w:numPr>
      <w:contextualSpacing/>
    </w:pPr>
  </w:style>
  <w:style w:type="paragraph" w:styleId="Numeroelenco3">
    <w:name w:val="List Number 3"/>
    <w:basedOn w:val="Normale"/>
    <w:uiPriority w:val="99"/>
    <w:unhideWhenUsed/>
    <w:rsid w:val="0029639D"/>
    <w:pPr>
      <w:numPr>
        <w:numId w:val="6"/>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eWeb">
    <w:name w:val="Normal (Web)"/>
    <w:basedOn w:val="Normale"/>
    <w:uiPriority w:val="99"/>
    <w:semiHidden/>
    <w:unhideWhenUsed/>
    <w:rsid w:val="00B771AD"/>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Testofumetto">
    <w:name w:val="Balloon Text"/>
    <w:basedOn w:val="Normale"/>
    <w:link w:val="TestofumettoCarattere"/>
    <w:uiPriority w:val="99"/>
    <w:semiHidden/>
    <w:unhideWhenUsed/>
    <w:rsid w:val="008244C8"/>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8244C8"/>
    <w:rPr>
      <w:rFonts w:ascii="Segoe UI" w:hAnsi="Segoe UI" w:cs="Segoe UI"/>
      <w:sz w:val="18"/>
      <w:szCs w:val="18"/>
      <w:lang w:val="it-IT"/>
    </w:rPr>
  </w:style>
  <w:style w:type="paragraph" w:styleId="Sommario1">
    <w:name w:val="toc 1"/>
    <w:basedOn w:val="Normale"/>
    <w:next w:val="Normale"/>
    <w:autoRedefine/>
    <w:uiPriority w:val="39"/>
    <w:unhideWhenUsed/>
    <w:rsid w:val="00D46BBF"/>
    <w:pPr>
      <w:tabs>
        <w:tab w:val="right" w:leader="dot" w:pos="9962"/>
      </w:tabs>
      <w:spacing w:after="100"/>
    </w:pPr>
    <w:rPr>
      <w:rFonts w:asciiTheme="majorHAnsi" w:hAnsiTheme="majorHAnsi" w:cstheme="majorHAnsi"/>
      <w:b/>
      <w:noProof/>
    </w:rPr>
  </w:style>
  <w:style w:type="paragraph" w:styleId="Sommario2">
    <w:name w:val="toc 2"/>
    <w:basedOn w:val="Normale"/>
    <w:next w:val="Normale"/>
    <w:autoRedefine/>
    <w:uiPriority w:val="39"/>
    <w:unhideWhenUsed/>
    <w:rsid w:val="00433CE6"/>
    <w:pPr>
      <w:tabs>
        <w:tab w:val="left" w:pos="660"/>
        <w:tab w:val="right" w:leader="dot" w:pos="9962"/>
      </w:tabs>
      <w:spacing w:after="100"/>
      <w:ind w:left="220"/>
    </w:pPr>
    <w:rPr>
      <w:rFonts w:asciiTheme="majorHAnsi" w:hAnsiTheme="majorHAnsi" w:cstheme="majorHAnsi"/>
      <w:b/>
      <w:noProof/>
    </w:rPr>
  </w:style>
  <w:style w:type="character" w:styleId="Collegamentoipertestuale">
    <w:name w:val="Hyperlink"/>
    <w:basedOn w:val="Carpredefinitoparagrafo"/>
    <w:uiPriority w:val="99"/>
    <w:unhideWhenUsed/>
    <w:rsid w:val="00D46BBF"/>
    <w:rPr>
      <w:color w:val="0000FF" w:themeColor="hyperlink"/>
      <w:u w:val="single"/>
    </w:rPr>
  </w:style>
  <w:style w:type="paragraph" w:styleId="Sommario3">
    <w:name w:val="toc 3"/>
    <w:basedOn w:val="Normale"/>
    <w:next w:val="Normale"/>
    <w:autoRedefine/>
    <w:uiPriority w:val="39"/>
    <w:unhideWhenUsed/>
    <w:rsid w:val="00433CE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7653687">
      <w:bodyDiv w:val="1"/>
      <w:marLeft w:val="0"/>
      <w:marRight w:val="0"/>
      <w:marTop w:val="0"/>
      <w:marBottom w:val="0"/>
      <w:divBdr>
        <w:top w:val="none" w:sz="0" w:space="0" w:color="auto"/>
        <w:left w:val="none" w:sz="0" w:space="0" w:color="auto"/>
        <w:bottom w:val="none" w:sz="0" w:space="0" w:color="auto"/>
        <w:right w:val="none" w:sz="0" w:space="0" w:color="auto"/>
      </w:divBdr>
    </w:div>
    <w:div w:id="1184593721">
      <w:bodyDiv w:val="1"/>
      <w:marLeft w:val="0"/>
      <w:marRight w:val="0"/>
      <w:marTop w:val="0"/>
      <w:marBottom w:val="0"/>
      <w:divBdr>
        <w:top w:val="none" w:sz="0" w:space="0" w:color="auto"/>
        <w:left w:val="none" w:sz="0" w:space="0" w:color="auto"/>
        <w:bottom w:val="none" w:sz="0" w:space="0" w:color="auto"/>
        <w:right w:val="none" w:sz="0" w:space="0" w:color="auto"/>
      </w:divBdr>
    </w:div>
    <w:div w:id="15903139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C23D60-A388-4A94-AD74-4323AD344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10</Pages>
  <Words>2249</Words>
  <Characters>12825</Characters>
  <Application>Microsoft Office Word</Application>
  <DocSecurity>0</DocSecurity>
  <Lines>106</Lines>
  <Paragraphs>30</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B.A.S. Statuto</vt:lpstr>
      <vt:lpstr/>
    </vt:vector>
  </TitlesOfParts>
  <Manager/>
  <Company/>
  <LinksUpToDate>false</LinksUpToDate>
  <CharactersWithSpaces>15044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 Statuto</dc:title>
  <dc:subject/>
  <dc:creator>Paolo Zanetti</dc:creator>
  <cp:keywords/>
  <dc:description>generated by python-docx</dc:description>
  <cp:lastModifiedBy>Paolo</cp:lastModifiedBy>
  <cp:revision>10</cp:revision>
  <cp:lastPrinted>2026-10-19T10:03:00Z</cp:lastPrinted>
  <dcterms:created xsi:type="dcterms:W3CDTF">2026-10-18T06:16:00Z</dcterms:created>
  <dcterms:modified xsi:type="dcterms:W3CDTF">2026-10-20T15:49:00Z</dcterms:modified>
  <cp:category/>
</cp:coreProperties>
</file>