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B28C" w14:textId="77777777" w:rsidR="005252EA" w:rsidRPr="00C703F6" w:rsidRDefault="005252EA" w:rsidP="00C703F6">
      <w:pPr>
        <w:jc w:val="center"/>
        <w:rPr>
          <w:b/>
        </w:rPr>
      </w:pPr>
      <w:r w:rsidRPr="00C703F6">
        <w:rPr>
          <w:b/>
        </w:rPr>
        <w:t>NEWCO, INC.</w:t>
      </w:r>
    </w:p>
    <w:p w14:paraId="285B7CE7" w14:textId="77777777" w:rsidR="005252EA" w:rsidRPr="00C703F6" w:rsidRDefault="005252EA" w:rsidP="00C703F6">
      <w:pPr>
        <w:spacing w:after="240"/>
        <w:jc w:val="center"/>
        <w:rPr>
          <w:b/>
        </w:rPr>
      </w:pPr>
      <w:r w:rsidRPr="00C703F6">
        <w:rPr>
          <w:b/>
        </w:rPr>
        <w:t>SERIES AA PREFERRED STOCK SUBSCRIPTION AGREEMENT</w:t>
      </w:r>
    </w:p>
    <w:p w14:paraId="58D36DCD" w14:textId="4EAD6104" w:rsidR="005252EA" w:rsidRDefault="005252EA" w:rsidP="00C703F6">
      <w:pPr>
        <w:spacing w:after="240"/>
        <w:ind w:firstLine="720"/>
        <w:jc w:val="both"/>
      </w:pPr>
      <w:r w:rsidRPr="00C703F6">
        <w:rPr>
          <w:b/>
        </w:rPr>
        <w:t>THIS SERIES AA PREFERRED STOCK SUBSCRIPTION AGREEMENT</w:t>
      </w:r>
      <w:r>
        <w:t xml:space="preserve"> (this “</w:t>
      </w:r>
      <w:r w:rsidRPr="00C703F6">
        <w:rPr>
          <w:b/>
          <w:i/>
        </w:rPr>
        <w:t>Agreement</w:t>
      </w:r>
      <w:r>
        <w:t>”) is made as of the 4th day of November, 2010, by and between NEWCO, INC., a Delaware corporation (the “</w:t>
      </w:r>
      <w:r w:rsidRPr="00C703F6">
        <w:rPr>
          <w:b/>
          <w:i/>
        </w:rPr>
        <w:t>Company</w:t>
      </w:r>
      <w:r w:rsidR="00C40B5C">
        <w:t>”), and</w:t>
      </w:r>
      <w:r>
        <w:t xml:space="preserve"> [pur</w:t>
      </w:r>
      <w:r w:rsidR="00C40B5C">
        <w:t>chaser]</w:t>
      </w:r>
      <w:r>
        <w:t xml:space="preserve"> (“</w:t>
      </w:r>
      <w:r w:rsidRPr="00C703F6">
        <w:rPr>
          <w:b/>
          <w:i/>
        </w:rPr>
        <w:t>Purchaser</w:t>
      </w:r>
      <w:r>
        <w:t>”).</w:t>
      </w:r>
    </w:p>
    <w:p w14:paraId="4228410B" w14:textId="77777777" w:rsidR="005252EA" w:rsidRPr="00C703F6" w:rsidRDefault="005252EA" w:rsidP="00C703F6">
      <w:pPr>
        <w:spacing w:after="240"/>
        <w:jc w:val="center"/>
        <w:rPr>
          <w:b/>
        </w:rPr>
      </w:pPr>
      <w:r w:rsidRPr="00C703F6">
        <w:rPr>
          <w:b/>
        </w:rPr>
        <w:t>RECITALS</w:t>
      </w:r>
    </w:p>
    <w:p w14:paraId="1D54083B" w14:textId="11320DEE" w:rsidR="005252EA" w:rsidRDefault="005252EA" w:rsidP="00C703F6">
      <w:pPr>
        <w:spacing w:after="240"/>
        <w:ind w:firstLine="720"/>
        <w:jc w:val="both"/>
      </w:pPr>
      <w:r w:rsidRPr="00C703F6">
        <w:rPr>
          <w:b/>
        </w:rPr>
        <w:t>WHEREAS</w:t>
      </w:r>
      <w:r>
        <w:t>, the Company has authorized the sale and issuance of up to an aggregate of 333,333 shares of its Series AA Preferred Stock (the “</w:t>
      </w:r>
      <w:r w:rsidRPr="00C703F6">
        <w:rPr>
          <w:b/>
          <w:i/>
        </w:rPr>
        <w:t>Series AA Preferred</w:t>
      </w:r>
      <w:r>
        <w:t>”);</w:t>
      </w:r>
    </w:p>
    <w:p w14:paraId="3BCC92FB" w14:textId="484D0B9F" w:rsidR="005252EA" w:rsidRDefault="005252EA" w:rsidP="00C703F6">
      <w:pPr>
        <w:spacing w:after="240"/>
        <w:ind w:firstLine="720"/>
        <w:jc w:val="both"/>
      </w:pPr>
      <w:r w:rsidRPr="00C703F6">
        <w:rPr>
          <w:b/>
        </w:rPr>
        <w:t>WHEREAS</w:t>
      </w:r>
      <w:r>
        <w:t>, the Series AA Preferred has the rights, preferences, privileges and restrictions set forth in the Amended and Restated Certificate of Incorporation of the Company, in the form attached hereto as Exhibit A (the “</w:t>
      </w:r>
      <w:r w:rsidRPr="00C703F6">
        <w:rPr>
          <w:b/>
          <w:i/>
        </w:rPr>
        <w:t>Charter</w:t>
      </w:r>
      <w:r>
        <w:t>”);</w:t>
      </w:r>
    </w:p>
    <w:p w14:paraId="322F6EF7" w14:textId="3EF5EC42" w:rsidR="005252EA" w:rsidRDefault="005252EA" w:rsidP="00C703F6">
      <w:pPr>
        <w:spacing w:after="240"/>
        <w:ind w:firstLine="720"/>
        <w:jc w:val="both"/>
      </w:pPr>
      <w:r w:rsidRPr="00C703F6">
        <w:rPr>
          <w:b/>
        </w:rPr>
        <w:t>WHEREAS</w:t>
      </w:r>
      <w:r>
        <w:t>, Purchaser desires to purchase shares of Series AA Preferred on the terms set fo</w:t>
      </w:r>
      <w:r w:rsidR="0091068D">
        <w:t>rth in this Agreement;</w:t>
      </w:r>
    </w:p>
    <w:p w14:paraId="60C0D404" w14:textId="77777777" w:rsidR="005252EA" w:rsidRDefault="005252EA" w:rsidP="00C703F6">
      <w:pPr>
        <w:spacing w:after="240"/>
        <w:ind w:firstLine="720"/>
        <w:jc w:val="both"/>
      </w:pPr>
      <w:r w:rsidRPr="00C703F6">
        <w:rPr>
          <w:b/>
        </w:rPr>
        <w:t>WHEREAS</w:t>
      </w:r>
      <w:r>
        <w:t>, the Company desires to issue and sell such shares of Series AA Preferred to Purchaser in accordance with the terms hereof; and</w:t>
      </w:r>
    </w:p>
    <w:p w14:paraId="609298EF" w14:textId="77777777" w:rsidR="005252EA" w:rsidRDefault="005252EA" w:rsidP="00C703F6">
      <w:pPr>
        <w:spacing w:after="240"/>
        <w:ind w:firstLine="720"/>
        <w:jc w:val="both"/>
      </w:pPr>
      <w:r w:rsidRPr="00C703F6">
        <w:rPr>
          <w:b/>
        </w:rPr>
        <w:t>WHEREAS</w:t>
      </w:r>
      <w:r>
        <w:t>, this Agreement is entered into as part of a series of similar agreements (collectively with this Agreement, the “</w:t>
      </w:r>
      <w:r w:rsidRPr="00C703F6">
        <w:rPr>
          <w:b/>
          <w:i/>
        </w:rPr>
        <w:t>Subscription Agreements</w:t>
      </w:r>
      <w:r>
        <w:t>”) pursuant to which the Company will sell and issue the Series AA Preferred to the persons listed on the signature pages of such Subscription Agreements (collectively with Purchaser, the “</w:t>
      </w:r>
      <w:r w:rsidRPr="00C703F6">
        <w:rPr>
          <w:b/>
          <w:i/>
        </w:rPr>
        <w:t>Series AA Investors</w:t>
      </w:r>
      <w:r>
        <w:t>”).</w:t>
      </w:r>
    </w:p>
    <w:p w14:paraId="7301EFD9" w14:textId="77777777" w:rsidR="005252EA" w:rsidRPr="00C703F6" w:rsidRDefault="005252EA" w:rsidP="00C703F6">
      <w:pPr>
        <w:spacing w:after="240"/>
        <w:jc w:val="center"/>
        <w:rPr>
          <w:b/>
        </w:rPr>
      </w:pPr>
      <w:r w:rsidRPr="00C703F6">
        <w:rPr>
          <w:b/>
        </w:rPr>
        <w:t>AGREEMENT</w:t>
      </w:r>
    </w:p>
    <w:p w14:paraId="2C5B4EAB" w14:textId="77777777" w:rsidR="005252EA" w:rsidRDefault="005252EA" w:rsidP="00C703F6">
      <w:pPr>
        <w:spacing w:after="240"/>
        <w:ind w:firstLine="720"/>
        <w:jc w:val="both"/>
      </w:pPr>
      <w:r w:rsidRPr="00C703F6">
        <w:rPr>
          <w:b/>
        </w:rPr>
        <w:t>NOW, THEREFORE</w:t>
      </w:r>
      <w:r>
        <w:t>, in consideration of the foregoing recitals and the mutual promises, representations, warranties, and covenants hereinafter set forth and for other good and valuable consideration, the receipt and sufficiency of which are hereby acknowledged, the parties hereto agree as follows:</w:t>
      </w:r>
    </w:p>
    <w:p w14:paraId="45E5D342" w14:textId="29479E14" w:rsidR="005252EA" w:rsidRPr="0084295F" w:rsidRDefault="005252EA" w:rsidP="0084295F">
      <w:pPr>
        <w:pStyle w:val="ListParagraph"/>
        <w:numPr>
          <w:ilvl w:val="0"/>
          <w:numId w:val="4"/>
        </w:numPr>
        <w:spacing w:after="240"/>
        <w:contextualSpacing w:val="0"/>
        <w:jc w:val="both"/>
        <w:rPr>
          <w:b/>
        </w:rPr>
      </w:pPr>
      <w:r w:rsidRPr="0084295F">
        <w:rPr>
          <w:b/>
        </w:rPr>
        <w:t>Purchase and Sale; Closing.</w:t>
      </w:r>
    </w:p>
    <w:p w14:paraId="1CE65C5A" w14:textId="637BE7DB" w:rsidR="005252EA" w:rsidRDefault="005252EA" w:rsidP="0084295F">
      <w:pPr>
        <w:pStyle w:val="ListParagraph"/>
        <w:numPr>
          <w:ilvl w:val="1"/>
          <w:numId w:val="4"/>
        </w:numPr>
        <w:spacing w:after="240"/>
        <w:contextualSpacing w:val="0"/>
        <w:jc w:val="both"/>
      </w:pPr>
      <w:r>
        <w:t>Subject to the terms and conditions hereof, Purchaser hereby agrees to purchase from the Company and the Company hereby agrees to issue and sell to Purchaser [16,667] shares of Series AA Preferred (the “</w:t>
      </w:r>
      <w:r w:rsidRPr="0084295F">
        <w:rPr>
          <w:b/>
          <w:i/>
        </w:rPr>
        <w:t>Shares</w:t>
      </w:r>
      <w:r>
        <w:t>”) at a purchase price of $[1.50] per share for total consideration of $[25,000.50] (the “</w:t>
      </w:r>
      <w:r w:rsidRPr="0084295F">
        <w:rPr>
          <w:b/>
          <w:i/>
        </w:rPr>
        <w:t>Purchase Price</w:t>
      </w:r>
      <w:r w:rsidR="0091068D">
        <w:t>”).</w:t>
      </w:r>
    </w:p>
    <w:p w14:paraId="4C71A636" w14:textId="49F3E61C" w:rsidR="005252EA" w:rsidRDefault="005252EA" w:rsidP="0084295F">
      <w:pPr>
        <w:pStyle w:val="ListParagraph"/>
        <w:numPr>
          <w:ilvl w:val="1"/>
          <w:numId w:val="4"/>
        </w:numPr>
        <w:spacing w:after="240"/>
        <w:contextualSpacing w:val="0"/>
        <w:jc w:val="both"/>
      </w:pPr>
      <w:r>
        <w:t>The issuance of up to [333,333] shares of Series AA Preferred to the Series AA Investors, including (subject to the proviso below) issuance of the Shares, shall take place promptly after the Company has received subscriptions for Series AA Preferred representing at least [$250,000] (the date on which such shares of Series AA Preferred are issued shall be referred to herein as the “</w:t>
      </w:r>
      <w:r w:rsidRPr="00867EA8">
        <w:rPr>
          <w:b/>
          <w:i/>
        </w:rPr>
        <w:t>Initial Closing Date</w:t>
      </w:r>
      <w:r>
        <w:t xml:space="preserve">”); provided that if Purchaser is purchasing the Shares subsequent to the Initial Closing Date, the issuance of the Shares shall occur upon payment of the Purchase Price by Purchaser and </w:t>
      </w:r>
      <w:r>
        <w:lastRenderedPageBreak/>
        <w:t>acceptance of Purchaser’s Subscription Agreement by the Company.  The date on which the Shares are issued, whether on the Initial Closing Date or thereafter, shall be referred to herein as the “</w:t>
      </w:r>
      <w:r w:rsidRPr="00867EA8">
        <w:rPr>
          <w:b/>
          <w:i/>
        </w:rPr>
        <w:t>Closing Date</w:t>
      </w:r>
      <w:r>
        <w:t>.”</w:t>
      </w:r>
    </w:p>
    <w:p w14:paraId="3F024454" w14:textId="2CCF89C1" w:rsidR="005252EA" w:rsidRDefault="005252EA" w:rsidP="0084295F">
      <w:pPr>
        <w:pStyle w:val="ListParagraph"/>
        <w:numPr>
          <w:ilvl w:val="1"/>
          <w:numId w:val="4"/>
        </w:numPr>
        <w:spacing w:after="240"/>
        <w:contextualSpacing w:val="0"/>
        <w:jc w:val="both"/>
      </w:pPr>
      <w:r>
        <w:t>Promptly following the Closing Date, the Company shall deliver to Purchaser a certificate registered in Purchaser’s name representing the Shares.</w:t>
      </w:r>
    </w:p>
    <w:p w14:paraId="550414C5" w14:textId="30E472D4" w:rsidR="005252EA" w:rsidRDefault="005252EA" w:rsidP="0084295F">
      <w:pPr>
        <w:pStyle w:val="ListParagraph"/>
        <w:numPr>
          <w:ilvl w:val="0"/>
          <w:numId w:val="4"/>
        </w:numPr>
        <w:spacing w:after="240"/>
        <w:contextualSpacing w:val="0"/>
        <w:jc w:val="both"/>
      </w:pPr>
      <w:r w:rsidRPr="0084295F">
        <w:rPr>
          <w:b/>
        </w:rPr>
        <w:t>Representations and Warranties of Purchaser.</w:t>
      </w:r>
      <w:r>
        <w:t xml:space="preserve">  Purchaser hereby represents and warrants to the Company as follows:</w:t>
      </w:r>
    </w:p>
    <w:p w14:paraId="189DA3A2" w14:textId="4715EDF5" w:rsidR="005252EA" w:rsidRDefault="005252EA" w:rsidP="0084295F">
      <w:pPr>
        <w:pStyle w:val="ListParagraph"/>
        <w:numPr>
          <w:ilvl w:val="1"/>
          <w:numId w:val="4"/>
        </w:numPr>
        <w:spacing w:after="240"/>
        <w:contextualSpacing w:val="0"/>
        <w:jc w:val="both"/>
      </w:pPr>
      <w:r>
        <w:t>Purchaser has all necessary power and authority to execute and deliver this Agreement and to carry out its provisions.  All action on Purchaser’s part required for the lawful execution and delivery of this Agreement has been taken.  Upon its execution and delivery, this Agreement will be a valid and binding obligation of Purchaser, enforceable in accordance with its terms, except (a) as limited by applicable bankruptcy, insolvency, reorganization, moratorium or other laws of general application affecting enforcement of creditors’ rights, and (b) as limited by general principles of equity that restrict the availability of equitable remedies.</w:t>
      </w:r>
    </w:p>
    <w:p w14:paraId="729B3E10" w14:textId="61030715" w:rsidR="005252EA" w:rsidRDefault="005252EA" w:rsidP="0084295F">
      <w:pPr>
        <w:pStyle w:val="ListParagraph"/>
        <w:numPr>
          <w:ilvl w:val="1"/>
          <w:numId w:val="4"/>
        </w:numPr>
        <w:spacing w:after="240"/>
        <w:contextualSpacing w:val="0"/>
        <w:jc w:val="both"/>
      </w:pPr>
      <w:r>
        <w:t>Purchaser is aware that neither the Shares nor any shares of Common Stock to be issued to Purchaser upon conversion of the Shares (the “</w:t>
      </w:r>
      <w:r w:rsidRPr="000E1FE3">
        <w:rPr>
          <w:b/>
          <w:i/>
        </w:rPr>
        <w:t>Conversion Shares</w:t>
      </w:r>
      <w:r>
        <w:t>”) have been registered under the Securities Act of 1933, as amended (the “</w:t>
      </w:r>
      <w:r w:rsidRPr="0084295F">
        <w:rPr>
          <w:b/>
          <w:i/>
        </w:rPr>
        <w:t>Securities Act</w:t>
      </w:r>
      <w:r>
        <w:t>”), and that the Shares and the Conversion Shares are deemed to constitute “restricted securities” under Rule 144 promulgated under the Securities Act (“</w:t>
      </w:r>
      <w:r w:rsidRPr="0084295F">
        <w:rPr>
          <w:b/>
          <w:i/>
        </w:rPr>
        <w:t>Rule 144</w:t>
      </w:r>
      <w:r>
        <w:t>”).   Purchaser also understands that the Shares are being offered and sold pursuant to an exemption from registration contained in the Securities Act based in part upon Purchaser’s representations contained in this Agreement.</w:t>
      </w:r>
    </w:p>
    <w:p w14:paraId="48A8DF34" w14:textId="34B9ECC2" w:rsidR="005252EA" w:rsidRDefault="005252EA" w:rsidP="0084295F">
      <w:pPr>
        <w:pStyle w:val="ListParagraph"/>
        <w:numPr>
          <w:ilvl w:val="1"/>
          <w:numId w:val="4"/>
        </w:numPr>
        <w:spacing w:after="240"/>
        <w:contextualSpacing w:val="0"/>
        <w:jc w:val="both"/>
      </w:pPr>
      <w:r>
        <w:t>Purchaser is obtaining the Shares and the Conversion Shares for Purchaser’s own account and Purchaser has no present intention of distributing or selling the Shares or the Conversion Shares except as permitted under the Securities Act and ap</w:t>
      </w:r>
      <w:r w:rsidR="0091068D">
        <w:t>plicable state securities laws.</w:t>
      </w:r>
    </w:p>
    <w:p w14:paraId="11879D3E" w14:textId="73B52856" w:rsidR="005252EA" w:rsidRDefault="005252EA" w:rsidP="0084295F">
      <w:pPr>
        <w:pStyle w:val="ListParagraph"/>
        <w:numPr>
          <w:ilvl w:val="1"/>
          <w:numId w:val="4"/>
        </w:numPr>
        <w:spacing w:after="240"/>
        <w:contextualSpacing w:val="0"/>
        <w:jc w:val="both"/>
      </w:pPr>
      <w:r>
        <w:t>Purchaser has sufficient knowledge and experience in business and financial matters to evaluate the Company, its proposed activities and the risks and merits of this investment.  Purchaser has the ability to accept the high risk and lack of liquidity inherent in this type of investment.</w:t>
      </w:r>
    </w:p>
    <w:p w14:paraId="1AA814B7" w14:textId="07D95E30" w:rsidR="005252EA" w:rsidRDefault="005252EA" w:rsidP="0084295F">
      <w:pPr>
        <w:pStyle w:val="ListParagraph"/>
        <w:numPr>
          <w:ilvl w:val="1"/>
          <w:numId w:val="4"/>
        </w:numPr>
        <w:spacing w:after="240"/>
        <w:contextualSpacing w:val="0"/>
        <w:jc w:val="both"/>
      </w:pPr>
      <w:r>
        <w:t>Purchaser had an opportunity to discuss the Company’s business, management and financial affairs with directors, officers and management of the Company.  Purchaser has also had the opportunity to ask questions of and receive answers from the Company and its management regarding the terms and conditions of this investment.  Purchaser understands the significant risks of this investment.</w:t>
      </w:r>
    </w:p>
    <w:p w14:paraId="3D2F6501" w14:textId="38FEFD21" w:rsidR="005252EA" w:rsidRDefault="005252EA" w:rsidP="0084295F">
      <w:pPr>
        <w:pStyle w:val="ListParagraph"/>
        <w:numPr>
          <w:ilvl w:val="1"/>
          <w:numId w:val="4"/>
        </w:numPr>
        <w:spacing w:after="240"/>
        <w:contextualSpacing w:val="0"/>
        <w:jc w:val="both"/>
      </w:pPr>
      <w:r>
        <w:t>Purchaser has the capacity to protect its own interests in connection with the purchase of the Shares by virtue of its business or financial expertise.</w:t>
      </w:r>
    </w:p>
    <w:p w14:paraId="5E42BDDD" w14:textId="29419C7A" w:rsidR="005252EA" w:rsidRDefault="005252EA" w:rsidP="0084295F">
      <w:pPr>
        <w:pStyle w:val="ListParagraph"/>
        <w:numPr>
          <w:ilvl w:val="1"/>
          <w:numId w:val="4"/>
        </w:numPr>
        <w:spacing w:after="240"/>
        <w:contextualSpacing w:val="0"/>
        <w:jc w:val="both"/>
      </w:pPr>
      <w:r>
        <w:t>Purchaser understands that the Shares and, if issued, the Conversion Shares must be held indefinitely unless they are subsequently registered under the Securities Act or an exemption from such registration is available.  Purchaser has been advised or is aware of the provisions of Rule 144, as in effect from time to time, which permit limited resale of shares purchased in a private placement subject to the satisfaction of certain conditions, including, among other things, the availability of certain current public information about the Company, the resale occurring following the required holding period under Rule 144, and the number of shares being sold during any three month period not exceeding specified limitations.</w:t>
      </w:r>
    </w:p>
    <w:p w14:paraId="417AB3B5" w14:textId="551CC4B8" w:rsidR="005252EA" w:rsidRDefault="005252EA" w:rsidP="0084295F">
      <w:pPr>
        <w:pStyle w:val="ListParagraph"/>
        <w:numPr>
          <w:ilvl w:val="1"/>
          <w:numId w:val="4"/>
        </w:numPr>
        <w:spacing w:after="240"/>
        <w:contextualSpacing w:val="0"/>
        <w:jc w:val="both"/>
      </w:pPr>
      <w:r>
        <w:t>Purchaser acknowledges and agrees that the Shares are subject to restrictions on transfer set forth in Section 5 hereof.</w:t>
      </w:r>
    </w:p>
    <w:p w14:paraId="1B4CFA3A" w14:textId="4BB39CDC" w:rsidR="005252EA" w:rsidRDefault="005252EA" w:rsidP="0084295F">
      <w:pPr>
        <w:pStyle w:val="ListParagraph"/>
        <w:numPr>
          <w:ilvl w:val="1"/>
          <w:numId w:val="4"/>
        </w:numPr>
        <w:spacing w:after="240"/>
        <w:contextualSpacing w:val="0"/>
        <w:jc w:val="both"/>
      </w:pPr>
      <w:r>
        <w:t>If Purchaser is not a United States person (as defined by Section 7701(a)(30) of the Internal Revenue Code of 1986, as amended (the “</w:t>
      </w:r>
      <w:r w:rsidRPr="0084295F">
        <w:rPr>
          <w:b/>
          <w:i/>
        </w:rPr>
        <w:t>Code</w:t>
      </w:r>
      <w:r>
        <w:t>”)), Purchaser hereby represents that Purchaser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 or other consents that may need to be obtained in connection with such purchase, and (iv) the income tax and other tax consequences, if any, that may be relevant to the purchase, holding, redemption, sale or transfer of the Shares.  The Company’s offer and sale and Purchaser’s subscription and payment for and continued beneficial ownership of the Shares will not violate any applicable securities or other laws of Purchaser’s jurisdiction.</w:t>
      </w:r>
    </w:p>
    <w:p w14:paraId="732843E1" w14:textId="449591D7" w:rsidR="005252EA" w:rsidRDefault="005252EA" w:rsidP="0084295F">
      <w:pPr>
        <w:pStyle w:val="ListParagraph"/>
        <w:numPr>
          <w:ilvl w:val="1"/>
          <w:numId w:val="4"/>
        </w:numPr>
        <w:spacing w:after="240"/>
        <w:contextualSpacing w:val="0"/>
        <w:jc w:val="both"/>
      </w:pPr>
      <w:r>
        <w:t>Purchaser has reviewed this Agreement in its entirety, has had an opportunity to obtain the advice of counsel prior to executing this Agreement and fully understands all provisions of this Agreement.</w:t>
      </w:r>
    </w:p>
    <w:p w14:paraId="6AC11382" w14:textId="3908D0DA" w:rsidR="005252EA" w:rsidRDefault="005252EA" w:rsidP="0084295F">
      <w:pPr>
        <w:pStyle w:val="ListParagraph"/>
        <w:numPr>
          <w:ilvl w:val="1"/>
          <w:numId w:val="4"/>
        </w:numPr>
        <w:spacing w:after="240"/>
        <w:contextualSpacing w:val="0"/>
        <w:jc w:val="both"/>
      </w:pPr>
      <w:r>
        <w:t>If Purchaser is an individual, then Purchaser resides in the state or province identified in the address of Purchaser set forth on the signature page hereto; if Purchaser is a partnership, corporation, limited liability company or other entity, then the office or offices of Purchaser in which its investment decision was made is located at the address or addresses of Purchaser set forth on the signature page hereto.</w:t>
      </w:r>
    </w:p>
    <w:p w14:paraId="0C165D56" w14:textId="4A8AF141" w:rsidR="005252EA" w:rsidRDefault="005252EA" w:rsidP="0084295F">
      <w:pPr>
        <w:pStyle w:val="ListParagraph"/>
        <w:numPr>
          <w:ilvl w:val="1"/>
          <w:numId w:val="4"/>
        </w:numPr>
        <w:spacing w:after="240"/>
        <w:contextualSpacing w:val="0"/>
        <w:jc w:val="both"/>
      </w:pPr>
      <w:r>
        <w:t xml:space="preserve">Purchaser makes </w:t>
      </w:r>
      <w:r w:rsidR="0084295F">
        <w:t>[</w:t>
      </w:r>
      <w:r>
        <w:t>one or more of</w:t>
      </w:r>
      <w:r w:rsidR="0084295F">
        <w:t>]</w:t>
      </w:r>
      <w:r>
        <w:t xml:space="preserve"> the following representations regarding its status as an “accredited investor” and certain related matters</w:t>
      </w:r>
      <w:r w:rsidR="0084295F">
        <w:t>[</w:t>
      </w:r>
      <w:r>
        <w:t>, and has checked the applicable representation</w:t>
      </w:r>
      <w:r w:rsidR="0084295F">
        <w:t>]</w:t>
      </w:r>
      <w:r>
        <w:t>:</w:t>
      </w:r>
    </w:p>
    <w:p w14:paraId="5107706D" w14:textId="36F5FEC0" w:rsidR="005252EA" w:rsidRDefault="005252EA" w:rsidP="0084295F">
      <w:pPr>
        <w:pStyle w:val="ListParagraph"/>
        <w:numPr>
          <w:ilvl w:val="2"/>
          <w:numId w:val="4"/>
        </w:numPr>
        <w:spacing w:after="240"/>
        <w:contextualSpacing w:val="0"/>
        <w:jc w:val="both"/>
      </w:pPr>
      <w:r>
        <w:t>If Purchaser is an individual, a self-directed individual retirement account (“</w:t>
      </w:r>
      <w:r w:rsidRPr="0084295F">
        <w:rPr>
          <w:b/>
          <w:i/>
        </w:rPr>
        <w:t>IRA</w:t>
      </w:r>
      <w:r>
        <w:t>”) or a living trust, Purchaser represents that it (A) has an individual net worth, or a joint net worth with such individual’s spouse, in excess of $1,000,000, or (B) has had an individual income in excess of $200,000 in each of the two most recent years, or a joint income with one’s spouse in excess of $300,000 in each of those years, and has a reasonable expectation of reaching the same income level in the current year, or (C) is a director or executive officer of the Company.</w:t>
      </w:r>
      <w:bookmarkStart w:id="0" w:name="_GoBack"/>
      <w:bookmarkEnd w:id="0"/>
    </w:p>
    <w:p w14:paraId="2570EAAE" w14:textId="163AE6CA" w:rsidR="005252EA" w:rsidRDefault="005252EA" w:rsidP="0084295F">
      <w:pPr>
        <w:pStyle w:val="ListParagraph"/>
        <w:numPr>
          <w:ilvl w:val="2"/>
          <w:numId w:val="4"/>
        </w:numPr>
        <w:spacing w:after="240"/>
        <w:contextualSpacing w:val="0"/>
        <w:jc w:val="both"/>
      </w:pPr>
      <w:r>
        <w:t>Purchaser is a bank, insurance partnership, investment partnership registered under the Investment Partnership Act of 1940, a broker or dealer registered pursuant to Section 15 of the Securities Exchange Act of 1934, as amended, a business development partnership, a small business investment partnership licensed by the U.S. Small Business Administration, a plan with total assets in excess of $5,000,000 established and maintained by a state for the benefit of its employees, or a private business development partnership as defined in Section 202(a)(22) of the Investment Advisers Act of 1940.</w:t>
      </w:r>
    </w:p>
    <w:p w14:paraId="77E7C9F5" w14:textId="6CB4A175" w:rsidR="005252EA" w:rsidRDefault="005252EA" w:rsidP="0084295F">
      <w:pPr>
        <w:pStyle w:val="ListParagraph"/>
        <w:numPr>
          <w:ilvl w:val="2"/>
          <w:numId w:val="4"/>
        </w:numPr>
        <w:spacing w:after="240"/>
        <w:contextualSpacing w:val="0"/>
        <w:jc w:val="both"/>
      </w:pPr>
      <w:r>
        <w:t>Purchaser is an employee benefit plan and either all investment decisions are made by a bank, savings and loan association, insurance partnership, or registered investment advisor, or the undersigned has total assets in excess of $5,000,000 or, if such plan is a self-directed plan, investment decisions are made solely by persons who are accredited investors.</w:t>
      </w:r>
    </w:p>
    <w:p w14:paraId="123BB76A" w14:textId="68A2E9AE" w:rsidR="005252EA" w:rsidRDefault="005252EA" w:rsidP="0084295F">
      <w:pPr>
        <w:pStyle w:val="ListParagraph"/>
        <w:numPr>
          <w:ilvl w:val="2"/>
          <w:numId w:val="4"/>
        </w:numPr>
        <w:spacing w:after="240"/>
        <w:contextualSpacing w:val="0"/>
        <w:jc w:val="both"/>
      </w:pPr>
      <w:r>
        <w:t>Purchaser is (i) an organization described in section 501(c)(3) of the Code, or (ii) a corporation, partnership, or business trust, in either case with total assets in excess of $5,000,000.</w:t>
      </w:r>
    </w:p>
    <w:p w14:paraId="17F81748" w14:textId="47078D3C" w:rsidR="005252EA" w:rsidRDefault="000E1FE3" w:rsidP="0084295F">
      <w:pPr>
        <w:pStyle w:val="ListParagraph"/>
        <w:numPr>
          <w:ilvl w:val="2"/>
          <w:numId w:val="4"/>
        </w:numPr>
        <w:spacing w:after="240"/>
        <w:contextualSpacing w:val="0"/>
        <w:jc w:val="both"/>
      </w:pPr>
      <w:r>
        <w:t>[</w:t>
      </w:r>
      <w:r w:rsidR="005252EA">
        <w:t>If Purchaser is not an entity described in paragraphs “1” through “4”, Purchaser represents that each of its equity owners is either (i) an entity described in paragraphs “2” through “4”;</w:t>
      </w:r>
      <w:r>
        <w:t>]</w:t>
      </w:r>
      <w:r w:rsidR="005252EA">
        <w:t xml:space="preserve"> or (ii) an individual who (A) has an individual net worth, or a joint net worth with such individual’s spouse, in excess of $1,000,000, or (B) has had an individual income in excess of $200,000 in each of the two most recent years, or a joint income with one’s spouse in excess of $300,000 in each of those years, and has a reasonable expectation of reaching the same income level in the current year, or (C) is a director or executive officer of the Company.</w:t>
      </w:r>
    </w:p>
    <w:p w14:paraId="23A1DA5B" w14:textId="0939D5C1" w:rsidR="005252EA" w:rsidRDefault="005252EA" w:rsidP="0084295F">
      <w:pPr>
        <w:pStyle w:val="ListParagraph"/>
        <w:numPr>
          <w:ilvl w:val="2"/>
          <w:numId w:val="4"/>
        </w:numPr>
        <w:spacing w:after="240"/>
        <w:contextualSpacing w:val="0"/>
        <w:jc w:val="both"/>
      </w:pPr>
      <w:r>
        <w:t>Purchaser is a trust with total assets in excess of $5,000,000 whose purchase hereunder is directed by a person with such knowledge and experience in financial and business matters that he is capable of evaluating the merits and risks of the prospective investment.</w:t>
      </w:r>
    </w:p>
    <w:p w14:paraId="1342AD8D" w14:textId="3A75BE81" w:rsidR="005252EA" w:rsidRDefault="005252EA" w:rsidP="0084295F">
      <w:pPr>
        <w:pStyle w:val="ListParagraph"/>
        <w:numPr>
          <w:ilvl w:val="2"/>
          <w:numId w:val="4"/>
        </w:numPr>
        <w:spacing w:after="240"/>
        <w:contextualSpacing w:val="0"/>
        <w:jc w:val="both"/>
      </w:pPr>
      <w:r>
        <w:t xml:space="preserve">The undersigned cannot make any of the representations set forth in </w:t>
      </w:r>
      <w:r w:rsidR="005D73AE">
        <w:t>[</w:t>
      </w:r>
      <w:r>
        <w:t>paragraphs “1” through “6” above</w:t>
      </w:r>
      <w:r w:rsidR="005D73AE">
        <w:t>]</w:t>
      </w:r>
      <w:r>
        <w:t>.</w:t>
      </w:r>
    </w:p>
    <w:p w14:paraId="0008C18F" w14:textId="022976AB" w:rsidR="005252EA" w:rsidRDefault="005252EA" w:rsidP="0084295F">
      <w:pPr>
        <w:pStyle w:val="ListParagraph"/>
        <w:numPr>
          <w:ilvl w:val="0"/>
          <w:numId w:val="4"/>
        </w:numPr>
        <w:spacing w:after="240"/>
        <w:contextualSpacing w:val="0"/>
        <w:jc w:val="both"/>
      </w:pPr>
      <w:r w:rsidRPr="0084295F">
        <w:rPr>
          <w:b/>
        </w:rPr>
        <w:t>Representations and Warranties of the Company.</w:t>
      </w:r>
      <w:r>
        <w:t xml:space="preserve">  The Company hereby represents and warrants to and agrees with Purchaser that except as set forth on the Schedule of Exceptions attached hereto as Exhibit B, each of the following statements is true and correct on the date hereof and, if this subscription is accepted by the Company in whole or in part, will be true and correct on the Closing Date:</w:t>
      </w:r>
    </w:p>
    <w:p w14:paraId="6AF63B6D" w14:textId="0BBA41EF" w:rsidR="005252EA" w:rsidRDefault="005252EA" w:rsidP="0084295F">
      <w:pPr>
        <w:pStyle w:val="ListParagraph"/>
        <w:numPr>
          <w:ilvl w:val="1"/>
          <w:numId w:val="4"/>
        </w:numPr>
        <w:spacing w:after="240"/>
        <w:contextualSpacing w:val="0"/>
        <w:jc w:val="both"/>
      </w:pPr>
      <w:r w:rsidRPr="0084295F">
        <w:rPr>
          <w:b/>
        </w:rPr>
        <w:t>Organization, Good Standing and Qualification.</w:t>
      </w:r>
      <w:r>
        <w:t xml:space="preserve">  The Company is a corporation duly organized, validly existing and in good standing under the laws of the State of Delaware.  The Company has all requisite corporate power and authority to own and operate its properties and assets, to execute and deliver this Agreement, to issue and sell the Shares and the Conversion Shares and to carry out the provisions of this Agreement and the Charter.</w:t>
      </w:r>
    </w:p>
    <w:p w14:paraId="0352B273" w14:textId="1771B63E" w:rsidR="005252EA" w:rsidRDefault="005252EA" w:rsidP="005B179D">
      <w:pPr>
        <w:pStyle w:val="ListParagraph"/>
        <w:numPr>
          <w:ilvl w:val="1"/>
          <w:numId w:val="4"/>
        </w:numPr>
        <w:spacing w:after="240"/>
        <w:contextualSpacing w:val="0"/>
        <w:jc w:val="both"/>
      </w:pPr>
      <w:r w:rsidRPr="005B179D">
        <w:rPr>
          <w:b/>
        </w:rPr>
        <w:t>Capitalization; Voting Rights.</w:t>
      </w:r>
      <w:r>
        <w:t xml:space="preserve">  The authorized capital stock of the Company, immediately prior to the Initial Closing Date, will consist of [1,500,000] shares of Common Stock, par value $0.001 per share (“</w:t>
      </w:r>
      <w:r w:rsidRPr="005B179D">
        <w:rPr>
          <w:b/>
          <w:i/>
        </w:rPr>
        <w:t>Common Stock</w:t>
      </w:r>
      <w:r>
        <w:t>”), [1,000,000] shares of which will be issued and outstanding, and [1,000,000] shares of Preferred Stock, par value $0.001 per share (“</w:t>
      </w:r>
      <w:r w:rsidRPr="005B179D">
        <w:rPr>
          <w:b/>
          <w:i/>
        </w:rPr>
        <w:t>Preferred Stock</w:t>
      </w:r>
      <w:r>
        <w:t>”), [333,333] shares of which will be designated Series A Preferred Stock, none of which will be issued and outstanding.  As of the date hereof, there are no outstanding options, warrants, or other rights for the purchase or acquisition from the Company of shares of Common Stock.  The rights, preferences, privileges and restrictions of the Shares are as set forth in the Charter.  The Conversion Shares have been duly and validly reserved for issuance.  When issued in compliance with the provisions of this Agreement and the Charter, the Shares and the Conversion Shares will be validly issued, fully paid and non-assessable, and will be free of any liens or encumbrances, other than any right of first refusal set forth in the Company’s Bylaws; provided, however, that the Shares may be subject to restrictions on transfer under state and/or federal securities laws as set forth herein or as otherwise required by such laws at the time a transfer is proposed.  Except as set forth on the Schedule of Exceptions attached hereto as Exhibit B, other than pursuant to the Subscription Agreements and as described herein, there are no other outstanding shares of stock of the Company or rights to purchase shares of stock of the Company or other agreements or understandings to purchase equity securities of the Company.</w:t>
      </w:r>
    </w:p>
    <w:p w14:paraId="16948B9E" w14:textId="6C7E6088" w:rsidR="005252EA" w:rsidRDefault="005252EA" w:rsidP="005B179D">
      <w:pPr>
        <w:pStyle w:val="ListParagraph"/>
        <w:numPr>
          <w:ilvl w:val="1"/>
          <w:numId w:val="4"/>
        </w:numPr>
        <w:spacing w:after="240"/>
        <w:contextualSpacing w:val="0"/>
        <w:jc w:val="both"/>
      </w:pPr>
      <w:r w:rsidRPr="005B179D">
        <w:rPr>
          <w:b/>
        </w:rPr>
        <w:t>Authorization; Binding Obligations.</w:t>
      </w:r>
      <w:r>
        <w:t xml:space="preserve">  All corporate action on the part of the Company, its officers, directors and stockholders necessary for the authorization of this Agreement and the Charter, the performance of all obligations of the Company hereunder and thereunder at the Closing and the authorization, sale, issuance and delivery of the Shares pursuant hereto and pursuant to the Charter has been taken or will be taken prior to the Closing Date.  This Agreement, when executed and delivered, will be valid and binding obligation of the Company enforceable in accordance with its terms, except (a) as limited by applicable bankruptcy, insolvency, reorganization, moratorium or other laws of general application affecting enforcement of creditors’ rights, and (b) general principles of equity that restrict the availability of equitable remedies.  The sale of the Shares hereunder and the subsequent conversion of the Shares into the Conversion Shares are not and will not be subject to any preemptive rights or rights of first refusal that have not been properly waived or complied with as of the da</w:t>
      </w:r>
      <w:r w:rsidR="0091068D">
        <w:t>te of such sale or conversion.</w:t>
      </w:r>
    </w:p>
    <w:p w14:paraId="5BBCFBD3" w14:textId="5B4E3B3D" w:rsidR="005252EA" w:rsidRDefault="005252EA" w:rsidP="005B179D">
      <w:pPr>
        <w:pStyle w:val="ListParagraph"/>
        <w:numPr>
          <w:ilvl w:val="1"/>
          <w:numId w:val="4"/>
        </w:numPr>
        <w:spacing w:after="240"/>
        <w:contextualSpacing w:val="0"/>
        <w:jc w:val="both"/>
      </w:pPr>
      <w:r w:rsidRPr="005B179D">
        <w:rPr>
          <w:b/>
        </w:rPr>
        <w:t>Liabilities.</w:t>
      </w:r>
      <w:r>
        <w:t xml:space="preserve">  Except as set forth on the Schedule of Exceptions attached hereto as Exhibit B, as of the date hereof, the Company has no material liabilities and, to the best of its knowledge, no material contingent liabilities, except current liabilities incurred in the ordinary course of business.</w:t>
      </w:r>
    </w:p>
    <w:p w14:paraId="7C15ACCF" w14:textId="63437B4F" w:rsidR="005252EA" w:rsidRDefault="005252EA" w:rsidP="005B179D">
      <w:pPr>
        <w:pStyle w:val="ListParagraph"/>
        <w:numPr>
          <w:ilvl w:val="1"/>
          <w:numId w:val="4"/>
        </w:numPr>
        <w:spacing w:after="240"/>
        <w:contextualSpacing w:val="0"/>
        <w:jc w:val="both"/>
      </w:pPr>
      <w:r w:rsidRPr="005B179D">
        <w:rPr>
          <w:b/>
        </w:rPr>
        <w:t>Compliance with Laws.</w:t>
      </w:r>
      <w:r>
        <w:t xml:space="preserve">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 operations or prospects of the Company.</w:t>
      </w:r>
    </w:p>
    <w:p w14:paraId="66937543" w14:textId="2EDE71F9" w:rsidR="005252EA" w:rsidRDefault="005252EA" w:rsidP="005B179D">
      <w:pPr>
        <w:pStyle w:val="ListParagraph"/>
        <w:numPr>
          <w:ilvl w:val="1"/>
          <w:numId w:val="4"/>
        </w:numPr>
        <w:spacing w:after="240"/>
        <w:contextualSpacing w:val="0"/>
        <w:jc w:val="both"/>
      </w:pPr>
      <w:r w:rsidRPr="005B179D">
        <w:rPr>
          <w:b/>
        </w:rPr>
        <w:t>Registration Rights and Voting Rights.</w:t>
      </w:r>
      <w:r>
        <w:t xml:space="preserve">  Except as set forth in Section 4(c) below, the Company is presently not under any obligation, and has not granted any rights, to register under the Securities Act any of the Company’s presently outstanding securities or any of its securities that may hereafter be issued.  To the Company’s knowledge, no stockholder of the Company has entered into any agreement with respect to the voting of equity securities of the Company.</w:t>
      </w:r>
    </w:p>
    <w:p w14:paraId="4206731E" w14:textId="0370F5B4" w:rsidR="005252EA" w:rsidRDefault="005252EA" w:rsidP="005B179D">
      <w:pPr>
        <w:pStyle w:val="ListParagraph"/>
        <w:numPr>
          <w:ilvl w:val="1"/>
          <w:numId w:val="4"/>
        </w:numPr>
        <w:spacing w:after="240"/>
        <w:contextualSpacing w:val="0"/>
        <w:jc w:val="both"/>
      </w:pPr>
      <w:r w:rsidRPr="005B179D">
        <w:rPr>
          <w:b/>
        </w:rPr>
        <w:t>Offering Valid.</w:t>
      </w:r>
      <w:r>
        <w:t xml:space="preserve">  Assuming the accuracy of Purchaser’s representations and warranties contained herein, the offer, sale and issuance of the Shares and the Conversion Shares will be exempt from the registration requirements of the Securities Act, and will have been registered or qualified (or will be exempt from registration and qualification) under the registration, permit or qualification requirements of all applicable state securities laws.  Neither the Company nor any agent on its behalf has solicited or will solicit any offers to sell or has offered to sell or will offer to sell all or any part of the Shares to any person or persons so as to bring the sale of the Shares by the Company within the registration provisions of the Securities Act or any st</w:t>
      </w:r>
      <w:r w:rsidR="0091068D">
        <w:t>ate securities laws.</w:t>
      </w:r>
    </w:p>
    <w:p w14:paraId="0C7B0F55" w14:textId="1B740AC0" w:rsidR="005252EA" w:rsidRPr="005B179D" w:rsidRDefault="005B179D" w:rsidP="005B179D">
      <w:pPr>
        <w:pStyle w:val="ListParagraph"/>
        <w:numPr>
          <w:ilvl w:val="0"/>
          <w:numId w:val="4"/>
        </w:numPr>
        <w:spacing w:after="240"/>
        <w:contextualSpacing w:val="0"/>
        <w:jc w:val="both"/>
        <w:rPr>
          <w:b/>
        </w:rPr>
      </w:pPr>
      <w:r>
        <w:rPr>
          <w:b/>
        </w:rPr>
        <w:t>Covenants of the Company.</w:t>
      </w:r>
    </w:p>
    <w:p w14:paraId="6807E3A7" w14:textId="5EC01C7A" w:rsidR="005252EA" w:rsidRPr="005B179D" w:rsidRDefault="005252EA" w:rsidP="005B179D">
      <w:pPr>
        <w:pStyle w:val="ListParagraph"/>
        <w:numPr>
          <w:ilvl w:val="1"/>
          <w:numId w:val="4"/>
        </w:numPr>
        <w:spacing w:after="240"/>
        <w:contextualSpacing w:val="0"/>
        <w:jc w:val="both"/>
        <w:rPr>
          <w:b/>
        </w:rPr>
      </w:pPr>
      <w:r w:rsidRPr="005B179D">
        <w:rPr>
          <w:b/>
        </w:rPr>
        <w:t>Basic Financ</w:t>
      </w:r>
      <w:r w:rsidR="005B179D">
        <w:rPr>
          <w:b/>
        </w:rPr>
        <w:t>ial Information and Reporting.</w:t>
      </w:r>
    </w:p>
    <w:p w14:paraId="11B56B37" w14:textId="0B116803" w:rsidR="005252EA" w:rsidRDefault="005252EA" w:rsidP="005B179D">
      <w:pPr>
        <w:pStyle w:val="ListParagraph"/>
        <w:numPr>
          <w:ilvl w:val="2"/>
          <w:numId w:val="4"/>
        </w:numPr>
        <w:spacing w:after="240"/>
        <w:contextualSpacing w:val="0"/>
        <w:jc w:val="both"/>
      </w:pPr>
      <w:r>
        <w:t>The Company will maintain true books and records of account in which full and correct entries will be made of all its business transactions pursuant to a system of accounting established and administered in accordance with United States generally accepted accounting principles consistently applied (except as noted therein), and will set aside on its books all such proper accruals and reserves as shall be required under United States generally accepted accounting principles consistently applied.</w:t>
      </w:r>
    </w:p>
    <w:p w14:paraId="77DEE5E2" w14:textId="3F801185" w:rsidR="005252EA" w:rsidRDefault="005252EA" w:rsidP="005B179D">
      <w:pPr>
        <w:pStyle w:val="ListParagraph"/>
        <w:numPr>
          <w:ilvl w:val="2"/>
          <w:numId w:val="4"/>
        </w:numPr>
        <w:spacing w:after="240"/>
        <w:contextualSpacing w:val="0"/>
        <w:jc w:val="both"/>
      </w:pPr>
      <w:r>
        <w:t xml:space="preserve">To the extent requested by a Series AA Investor, as soon as practicable after the end of each fiscal year of the Company (and in any event within 120 days thereafter), the Company will furnish such Series AA Investor a balance sheet of the Company, as at the end of such fiscal year, and a statement of income and a statement of cash flows of the Company, for such fiscal year, all prepared in accordance with United States generally accepted accounting principles consistently applied (except as noted therein) and setting forth in each case in comparative form the figures for the previous fiscal </w:t>
      </w:r>
      <w:r w:rsidR="0091068D">
        <w:t>year, all in reasonable detail.</w:t>
      </w:r>
    </w:p>
    <w:p w14:paraId="3D260530" w14:textId="6991F791" w:rsidR="005252EA" w:rsidRPr="005B179D" w:rsidRDefault="005252EA" w:rsidP="005B179D">
      <w:pPr>
        <w:pStyle w:val="ListParagraph"/>
        <w:numPr>
          <w:ilvl w:val="1"/>
          <w:numId w:val="4"/>
        </w:numPr>
        <w:spacing w:after="240"/>
        <w:contextualSpacing w:val="0"/>
        <w:jc w:val="both"/>
        <w:rPr>
          <w:b/>
        </w:rPr>
      </w:pPr>
      <w:r w:rsidRPr="005B179D">
        <w:rPr>
          <w:b/>
        </w:rPr>
        <w:t>Preemptive Rights.</w:t>
      </w:r>
    </w:p>
    <w:p w14:paraId="76A1E677" w14:textId="1FD364CC" w:rsidR="005252EA" w:rsidRDefault="005252EA" w:rsidP="005B179D">
      <w:pPr>
        <w:pStyle w:val="ListParagraph"/>
        <w:numPr>
          <w:ilvl w:val="2"/>
          <w:numId w:val="4"/>
        </w:numPr>
        <w:spacing w:after="240"/>
        <w:contextualSpacing w:val="0"/>
        <w:jc w:val="both"/>
      </w:pPr>
      <w:r w:rsidRPr="005B179D">
        <w:rPr>
          <w:b/>
        </w:rPr>
        <w:t>Preemptive Rights.</w:t>
      </w:r>
      <w:r>
        <w:t xml:space="preserve">  Subject to applicable securities laws, each Series AA Investor that is an accredited investor within the meaning of Regulation D of the Securities Act (an “</w:t>
      </w:r>
      <w:r w:rsidRPr="0091068D">
        <w:rPr>
          <w:b/>
          <w:i/>
        </w:rPr>
        <w:t>Accredited Investor</w:t>
      </w:r>
      <w:r>
        <w:t>”) at the time of such proposed sale or issuance shall have a preemptive right to purchase up to its pro rata share of all Equity Securities, as defined below, that the Company may, from time to time, propose to sell and issue after the Closing Date applicable to such Series AA Investor, other than the Equity Securities excluded by Section 4(b)(vi) hereof.  Each such Series AA Investor’s pro rata share is equal to the ratio of (a) the number of shares of the Company’s Common Stock (including all shares of Common Stock issuable or issued upon conversion of the Company’s Preferred Stock or upon the exercise of outstanding warrants or options) of which such Series AA Investor is deemed to be a holder immediately prior to the issuance of the Equity Securities to (b) the total number of shares of the Company’s outstanding Common Stock (including all shares of Common Stock issued or issuable upon conversion of the Company’s Preferred Stock or upon the exercise of any outstanding warrants or options) immediately prior to the issuance of the Equity Securities.  The term “</w:t>
      </w:r>
      <w:r w:rsidRPr="0091068D">
        <w:rPr>
          <w:b/>
          <w:i/>
        </w:rPr>
        <w:t>Equity Securities</w:t>
      </w:r>
      <w:r>
        <w:t>” shall mean (i) any Common Stock, Preferred Stock or other security of the Company, (ii) any security convertible into or exercisable or exchangeable for, with or without consideration, any Common Stock, Preferred Stock or other security of the Company (including any option to purchase such a convertible security), (iii) any security carrying any warrant or right to subscribe to or purchase any Common Stock, Preferred Stock or other security of the Company or (iv) any such warrant or right.</w:t>
      </w:r>
    </w:p>
    <w:p w14:paraId="3C134FE1" w14:textId="6DE1E2C3" w:rsidR="005252EA" w:rsidRDefault="005252EA" w:rsidP="005B179D">
      <w:pPr>
        <w:pStyle w:val="ListParagraph"/>
        <w:numPr>
          <w:ilvl w:val="2"/>
          <w:numId w:val="4"/>
        </w:numPr>
        <w:spacing w:after="240"/>
        <w:contextualSpacing w:val="0"/>
        <w:jc w:val="both"/>
      </w:pPr>
      <w:r w:rsidRPr="005B179D">
        <w:rPr>
          <w:b/>
        </w:rPr>
        <w:t>Exercise of Rights.</w:t>
      </w:r>
      <w:r>
        <w:t xml:space="preserve">  If the Company proposes to issue any Equity Securities, it shall give each Series AA Investor written notice of its intention, describing the Equity Securities, the price and the terms and conditions upon which the Company proposes to issue the same.  Each Series AA Investor shall have fifteen (15) days from the giving of such notice to agree to purchase up to its pro rata share of the Equity Securities for the price and upon the terms and conditions specified in the notice by giving written notice to the Company and stating therein the quantity of Equity Securities to be purchased.  Such written notice given to the Company shall also include evidence reasonably satisfactory to the Company that the Series AA Investor giving the notice will be an Accredited Investor at the time of consummation of the proposed sale.  Notwithstanding the foregoing, the Company shall not be required to offer or sell such Equity Securities to any Series AA Investor who would cause the Company to be in violation of applicable state or federal securities laws by virtue of such offer or sale or who is not an Accredited Invest</w:t>
      </w:r>
      <w:r w:rsidR="005B179D">
        <w:t>or at the time of such sale.</w:t>
      </w:r>
    </w:p>
    <w:p w14:paraId="4BEC2CE6" w14:textId="3D397343" w:rsidR="005252EA" w:rsidRDefault="005252EA" w:rsidP="005B179D">
      <w:pPr>
        <w:pStyle w:val="ListParagraph"/>
        <w:numPr>
          <w:ilvl w:val="2"/>
          <w:numId w:val="4"/>
        </w:numPr>
        <w:spacing w:after="240"/>
        <w:contextualSpacing w:val="0"/>
        <w:jc w:val="both"/>
      </w:pPr>
      <w:r w:rsidRPr="005B179D">
        <w:rPr>
          <w:b/>
        </w:rPr>
        <w:t>Sale Without Notice.</w:t>
      </w:r>
      <w:r>
        <w:t xml:space="preserve">  In lieu of giving notice to the Series AA Investors prior to the issuance of Equity Securities as provided in Section 4(b)(ii), the Company may elect to give notice to the Series AA Investors within thirty (30) days after the issuance of Equity Securities.  Such notice shall describe the type, price and terms of the Equity Securities.</w:t>
      </w:r>
      <w:r w:rsidR="007628BB">
        <w:t xml:space="preserve"> </w:t>
      </w:r>
      <w:r>
        <w:t xml:space="preserve"> Each Series AA Investor shall have twenty (20) days from the date of receipt of such notice to elect to purchase up to the number of shares that would, if purchased by such Series AA Investor, maintain such Series AA Investor’s pro rata share (as set forth in Section 4(b)(i)) of the Company’s equity securities after giving effect to all such purchases.  Any election by a Series AA Investor to purchase Equity Securities pursuant to this Section 4(b)(iii) shall be accompanied by evidence reasonably satisfactory to the Company that the Series AA Investor will be an Accredited Investor at the time of consummation of the proposed sale.  The closing of such sale shall occur within sixty (60) days of the date of notice to the Series AA Investors.  Notwithstanding the foregoing, the Company shall not be required to offer or sell such Equity Securities to any Series AA Investor who would cause the Company to be in violation of applicable state or federal securities laws by virtue of such offer or sale or who is not an Accredited Investor at the time of such sale.</w:t>
      </w:r>
    </w:p>
    <w:p w14:paraId="3E835C4E" w14:textId="69B4BD7D" w:rsidR="005252EA" w:rsidRDefault="005252EA" w:rsidP="005B179D">
      <w:pPr>
        <w:pStyle w:val="ListParagraph"/>
        <w:numPr>
          <w:ilvl w:val="2"/>
          <w:numId w:val="4"/>
        </w:numPr>
        <w:spacing w:after="240"/>
        <w:contextualSpacing w:val="0"/>
        <w:jc w:val="both"/>
      </w:pPr>
      <w:r w:rsidRPr="005B179D">
        <w:rPr>
          <w:b/>
        </w:rPr>
        <w:t>Termination of Preemptive Rights.</w:t>
      </w:r>
      <w:r>
        <w:t xml:space="preserve">  The preemptive rights established by this Section 4(b) shall not apply to, and shall terminate upon the earlier of (A) the of closing of a Qualified IPO, as defined in the Charter, or (B) an Acquisition or Asset Transfer, each as defined in the Charter.  In addition, the preemptive rights established by this Section 4(b) shall terminate upon the closing of a Qualified Financing (as defined below) and shall not apply to any Equity Securities offered by the Company after the closing </w:t>
      </w:r>
      <w:r w:rsidR="0091068D">
        <w:t>of such Qualified Financing.</w:t>
      </w:r>
    </w:p>
    <w:p w14:paraId="5078F3A0" w14:textId="02AD17E0" w:rsidR="005252EA" w:rsidRDefault="005252EA" w:rsidP="005B179D">
      <w:pPr>
        <w:pStyle w:val="ListParagraph"/>
        <w:numPr>
          <w:ilvl w:val="2"/>
          <w:numId w:val="4"/>
        </w:numPr>
        <w:spacing w:after="240"/>
        <w:contextualSpacing w:val="0"/>
        <w:jc w:val="both"/>
      </w:pPr>
      <w:r w:rsidRPr="005B179D">
        <w:rPr>
          <w:b/>
        </w:rPr>
        <w:t>Assignment of Preemptive Rights.</w:t>
      </w:r>
      <w:r>
        <w:t xml:space="preserve">  The preemptive rights of each Series AA Investor under this Section 4(b) may be assigned by a Series AA Investor to a transferee or assignee of Series AA Preferred that (A) is a subsidiary, parent, general partner, limited partner, retired partner, member or retired member, or stockholder of a Series AA Investor that is a corporation, partnership or limited liability company, (B) is a Series AA Investors’ family member or trust for the benefit of an individual Series AA Investor, or (C) acquires all of the Series AA Preferred held by such Series AA Investor; provided, however, (1) the transferor shall, within ten (10) days after such transfer, furnish to the Company written notice of the name and address of such transferee or assignee, and (2) such transferee shall agree in writing to be subject to all restrictions set forth in this Agreement.</w:t>
      </w:r>
    </w:p>
    <w:p w14:paraId="4B27326B" w14:textId="4579AF49" w:rsidR="005252EA" w:rsidRDefault="005252EA" w:rsidP="005B179D">
      <w:pPr>
        <w:pStyle w:val="ListParagraph"/>
        <w:numPr>
          <w:ilvl w:val="2"/>
          <w:numId w:val="4"/>
        </w:numPr>
        <w:spacing w:after="240"/>
        <w:contextualSpacing w:val="0"/>
        <w:jc w:val="both"/>
      </w:pPr>
      <w:r w:rsidRPr="005B179D">
        <w:rPr>
          <w:b/>
        </w:rPr>
        <w:t>Excluded Securities.</w:t>
      </w:r>
      <w:r>
        <w:t xml:space="preserve">  The preemptive rights established by this Section 4(b) shall have no application to any of the following Equity Securities:</w:t>
      </w:r>
    </w:p>
    <w:p w14:paraId="39C5FEED" w14:textId="59763773" w:rsidR="005252EA" w:rsidRDefault="005252EA" w:rsidP="005B179D">
      <w:pPr>
        <w:pStyle w:val="ListParagraph"/>
        <w:numPr>
          <w:ilvl w:val="3"/>
          <w:numId w:val="4"/>
        </w:numPr>
        <w:spacing w:after="240"/>
        <w:contextualSpacing w:val="0"/>
        <w:jc w:val="both"/>
      </w:pPr>
      <w:r>
        <w:t>shares of Common Stock and/or options, warrants or other Common Stock purchase rights and Common Stock issued pursuant to such options, warrants or other rights issued or to be issued after the Closing Date to employees, officers or directors of, or consultants or advisors to the Company or any subsidiary of the Company, pursuant to stock purchase or stock option plans or other arrangements that are approved by the Board of Director</w:t>
      </w:r>
      <w:r w:rsidR="005B179D">
        <w:t>s of the Company (the “</w:t>
      </w:r>
      <w:r w:rsidR="005B179D" w:rsidRPr="00BC2001">
        <w:rPr>
          <w:b/>
          <w:i/>
        </w:rPr>
        <w:t>Board</w:t>
      </w:r>
      <w:r w:rsidR="005B179D">
        <w:t>”);</w:t>
      </w:r>
    </w:p>
    <w:p w14:paraId="7BD18B95" w14:textId="7FF75034" w:rsidR="005252EA" w:rsidRDefault="005252EA" w:rsidP="00BC2001">
      <w:pPr>
        <w:pStyle w:val="ListParagraph"/>
        <w:numPr>
          <w:ilvl w:val="3"/>
          <w:numId w:val="4"/>
        </w:numPr>
        <w:spacing w:after="240"/>
        <w:contextualSpacing w:val="0"/>
        <w:jc w:val="both"/>
      </w:pPr>
      <w:r>
        <w:t>shares of stock issued or issuable pursuant to any rights or agreements, options, warrants or convertible securities outstanding as of the Closing Date; and shares of stock issued pursuant to any such rights or agreements, options, warrants or convertible securities granted after the Closing Date, so long as the preemptive rights established by this Section 4(b) were complied with, waived, or were inapplicable pursuant to any provision of this Section 4(b)(vi) with respect to the initial sale or grant by the Company of such rights or agreements, options, warrants or convertible securities;</w:t>
      </w:r>
    </w:p>
    <w:p w14:paraId="30E4C9E4" w14:textId="4DCCCB6F" w:rsidR="005252EA" w:rsidRDefault="005252EA" w:rsidP="00BC2001">
      <w:pPr>
        <w:pStyle w:val="ListParagraph"/>
        <w:numPr>
          <w:ilvl w:val="3"/>
          <w:numId w:val="4"/>
        </w:numPr>
        <w:spacing w:after="240"/>
        <w:contextualSpacing w:val="0"/>
        <w:jc w:val="both"/>
      </w:pPr>
      <w:r>
        <w:t>any Equity Securities issued for consideration other than cash pursuant to a merger, consolidation, acquisition or similar business combination approved by the Board;</w:t>
      </w:r>
    </w:p>
    <w:p w14:paraId="542205EB" w14:textId="48FD7984" w:rsidR="005252EA" w:rsidRDefault="005252EA" w:rsidP="005F5D01">
      <w:pPr>
        <w:pStyle w:val="ListParagraph"/>
        <w:numPr>
          <w:ilvl w:val="3"/>
          <w:numId w:val="4"/>
        </w:numPr>
        <w:spacing w:after="240"/>
        <w:contextualSpacing w:val="0"/>
        <w:jc w:val="both"/>
      </w:pPr>
      <w:r>
        <w:t>any Equity Securities issued in connection with any stock split, stock dividend or recapitalization by the Company;</w:t>
      </w:r>
    </w:p>
    <w:p w14:paraId="3849FD43" w14:textId="3F2B931F" w:rsidR="005252EA" w:rsidRDefault="005252EA" w:rsidP="005F5D01">
      <w:pPr>
        <w:pStyle w:val="ListParagraph"/>
        <w:numPr>
          <w:ilvl w:val="3"/>
          <w:numId w:val="4"/>
        </w:numPr>
        <w:spacing w:after="240"/>
        <w:contextualSpacing w:val="0"/>
        <w:jc w:val="both"/>
      </w:pPr>
      <w:r>
        <w:t>any Equity Securities issued pursuant to any equipment loan or leasing arrangement, real property leasing arrangement, or debt financing from a bank or similar financial or lending institution approved by the Board;</w:t>
      </w:r>
    </w:p>
    <w:p w14:paraId="0985B49B" w14:textId="183B821F" w:rsidR="005252EA" w:rsidRDefault="005252EA" w:rsidP="005F5D01">
      <w:pPr>
        <w:pStyle w:val="ListParagraph"/>
        <w:numPr>
          <w:ilvl w:val="3"/>
          <w:numId w:val="4"/>
        </w:numPr>
        <w:spacing w:after="240"/>
        <w:contextualSpacing w:val="0"/>
        <w:jc w:val="both"/>
      </w:pPr>
      <w:r>
        <w:t xml:space="preserve">any Equity Securities that are issued by the Company pursuant to a registration statement </w:t>
      </w:r>
      <w:r w:rsidR="0091068D">
        <w:t>filed under the Securities Act;</w:t>
      </w:r>
    </w:p>
    <w:p w14:paraId="696E59CD" w14:textId="7A5C8C9D" w:rsidR="005252EA" w:rsidRDefault="005252EA" w:rsidP="005F5D01">
      <w:pPr>
        <w:pStyle w:val="ListParagraph"/>
        <w:numPr>
          <w:ilvl w:val="3"/>
          <w:numId w:val="4"/>
        </w:numPr>
        <w:spacing w:after="240"/>
        <w:contextualSpacing w:val="0"/>
        <w:jc w:val="both"/>
      </w:pPr>
      <w:r>
        <w:t>any Equity Securities issued in connection with strategic transactions involving the Company and other entities, including (i) joint ventures, manufacturing, marketing or distribution arrangements or (ii) technology transfer or development arrangements; provided that the issuance of shares therein has been approved by the Board; and</w:t>
      </w:r>
    </w:p>
    <w:p w14:paraId="4977EFDA" w14:textId="4E1BBD5E" w:rsidR="005252EA" w:rsidRDefault="005252EA" w:rsidP="005F5D01">
      <w:pPr>
        <w:pStyle w:val="ListParagraph"/>
        <w:numPr>
          <w:ilvl w:val="3"/>
          <w:numId w:val="4"/>
        </w:numPr>
        <w:spacing w:after="240"/>
        <w:contextualSpacing w:val="0"/>
        <w:jc w:val="both"/>
      </w:pPr>
      <w:r>
        <w:t>any Equity Securities issued by the Company pursuant to the Subscription Agreements and any Equity Securities issued by the Company pursuant the convers</w:t>
      </w:r>
      <w:r w:rsidR="005F5D01">
        <w:t>ion of such Equity Securities.</w:t>
      </w:r>
    </w:p>
    <w:p w14:paraId="19396AFE" w14:textId="794176EC" w:rsidR="005252EA" w:rsidRDefault="005252EA" w:rsidP="005F5D01">
      <w:pPr>
        <w:pStyle w:val="ListParagraph"/>
        <w:numPr>
          <w:ilvl w:val="1"/>
          <w:numId w:val="4"/>
        </w:numPr>
        <w:spacing w:after="240"/>
        <w:contextualSpacing w:val="0"/>
        <w:jc w:val="both"/>
      </w:pPr>
      <w:r w:rsidRPr="005F5D01">
        <w:rPr>
          <w:b/>
        </w:rPr>
        <w:t>Additional Investor Rights.</w:t>
      </w:r>
      <w:r>
        <w:t xml:space="preserve">  If the Company grants to investors participating in the Company’s Series A Preferred Stock financing (or such other financing that is the Company’s next round of equity financing) (“</w:t>
      </w:r>
      <w:r w:rsidRPr="0091068D">
        <w:rPr>
          <w:b/>
          <w:i/>
        </w:rPr>
        <w:t>Future Investors</w:t>
      </w:r>
      <w:r>
        <w:t>”) registration, information, preemptive, or board observation rights (collectively, “</w:t>
      </w:r>
      <w:r w:rsidRPr="0091068D">
        <w:rPr>
          <w:b/>
          <w:i/>
        </w:rPr>
        <w:t>Investor Rights</w:t>
      </w:r>
      <w:r>
        <w:t xml:space="preserve">”), then each Series AA Investor shall be entitled to receive such Investor Rights on the same terms and conditions granted to such Future Investors; provided, however, that each such Series AA Investor shall, as a condition to receiving such Investor Rights, execute and become a party to any agreement or agreements granting such Investor Rights to the Future Investors and shall be subject to the all of the terms, conditions and limitations (including any limitations related to minimum share requirements) of such agreement or agreements to the same </w:t>
      </w:r>
      <w:r w:rsidR="0091068D">
        <w:t>extent as the Future Investors.</w:t>
      </w:r>
    </w:p>
    <w:p w14:paraId="4ACA6239" w14:textId="39767625" w:rsidR="005252EA" w:rsidRDefault="005252EA" w:rsidP="005F5D01">
      <w:pPr>
        <w:pStyle w:val="ListParagraph"/>
        <w:numPr>
          <w:ilvl w:val="1"/>
          <w:numId w:val="4"/>
        </w:numPr>
        <w:spacing w:after="240"/>
        <w:contextualSpacing w:val="0"/>
        <w:jc w:val="both"/>
      </w:pPr>
      <w:r w:rsidRPr="005F5D01">
        <w:rPr>
          <w:b/>
        </w:rPr>
        <w:t>Termination of Covenants.</w:t>
      </w:r>
      <w:r>
        <w:t xml:space="preserve">  The rights established by this Section 4 shall terminate upon the earliest of (i) the closing of a Qualified IPO, as defined in the Charter, (ii) an Acquisition or Asset Transfer, each as defined in the Charter, or (iii) the closing of additional equity investments other than pursuant to the Subscription Agreements resulting in aggregate total proceeds to the Company of more than $750,000 (a “</w:t>
      </w:r>
      <w:r w:rsidRPr="0091068D">
        <w:rPr>
          <w:b/>
          <w:i/>
        </w:rPr>
        <w:t>Qualified Financing</w:t>
      </w:r>
      <w:r w:rsidR="0091068D">
        <w:t>”).</w:t>
      </w:r>
    </w:p>
    <w:p w14:paraId="5126F747" w14:textId="798CA304" w:rsidR="005252EA" w:rsidRPr="005F5D01" w:rsidRDefault="005F5D01" w:rsidP="005F5D01">
      <w:pPr>
        <w:pStyle w:val="ListParagraph"/>
        <w:numPr>
          <w:ilvl w:val="0"/>
          <w:numId w:val="4"/>
        </w:numPr>
        <w:spacing w:after="240"/>
        <w:contextualSpacing w:val="0"/>
        <w:jc w:val="both"/>
        <w:rPr>
          <w:b/>
        </w:rPr>
      </w:pPr>
      <w:r w:rsidRPr="005F5D01">
        <w:rPr>
          <w:b/>
        </w:rPr>
        <w:t>Restrictions on Transfer.</w:t>
      </w:r>
    </w:p>
    <w:p w14:paraId="5EE93F13" w14:textId="2356CEB6" w:rsidR="005252EA" w:rsidRDefault="005252EA" w:rsidP="005F5D01">
      <w:pPr>
        <w:pStyle w:val="ListParagraph"/>
        <w:numPr>
          <w:ilvl w:val="1"/>
          <w:numId w:val="4"/>
        </w:numPr>
        <w:spacing w:after="240"/>
        <w:contextualSpacing w:val="0"/>
        <w:jc w:val="both"/>
      </w:pPr>
      <w:r>
        <w:t>Purchaser hereby agrees not to make any disposition of all or any portion of the Shares or the Conversion Shares unless and until:</w:t>
      </w:r>
    </w:p>
    <w:p w14:paraId="3525A567" w14:textId="5444D224" w:rsidR="005252EA" w:rsidRDefault="005252EA" w:rsidP="005F5D01">
      <w:pPr>
        <w:pStyle w:val="ListParagraph"/>
        <w:numPr>
          <w:ilvl w:val="2"/>
          <w:numId w:val="4"/>
        </w:numPr>
        <w:spacing w:after="240"/>
        <w:contextualSpacing w:val="0"/>
        <w:jc w:val="both"/>
      </w:pPr>
      <w:r>
        <w:t>There is then in effect a registration statement under the Securities Act covering such proposed disposition and such disposition is made in accordance with such registration statement; or</w:t>
      </w:r>
    </w:p>
    <w:p w14:paraId="004730AC" w14:textId="4CE0D380" w:rsidR="005252EA" w:rsidRDefault="005252EA" w:rsidP="005F5D01">
      <w:pPr>
        <w:pStyle w:val="ListParagraph"/>
        <w:numPr>
          <w:ilvl w:val="2"/>
          <w:numId w:val="4"/>
        </w:numPr>
        <w:spacing w:after="240"/>
        <w:contextualSpacing w:val="0"/>
        <w:jc w:val="both"/>
      </w:pPr>
      <w:r>
        <w:t>(A) The transferee has agreed in writing to be bound by the terms of Section 5 of this Agreement, (B) Purchaser shall have notified the Company of the proposed disposition and shall have furnished the Company with a detailed statement of the circumstances surrounding the proposed disposition, (C) such disposition is made in accordance with the provisions of the Company’s Bylaws, and (D) if reasonably requested by the Company, Purchaser shall have furnished the Company with an opinion of counsel, reasonably satisfactory to the Company, that such disposition will not require registration of such shares under the Securities Act.   It is agreed that the Company will not require opinions of counsel for transactions made pursuant to Rule 144 except in unusual circumstances.</w:t>
      </w:r>
    </w:p>
    <w:p w14:paraId="4622D834" w14:textId="681EB089" w:rsidR="005252EA" w:rsidRDefault="005252EA" w:rsidP="005F5D01">
      <w:pPr>
        <w:pStyle w:val="ListParagraph"/>
        <w:numPr>
          <w:ilvl w:val="1"/>
          <w:numId w:val="4"/>
        </w:numPr>
        <w:spacing w:after="240"/>
        <w:contextualSpacing w:val="0"/>
        <w:jc w:val="both"/>
      </w:pPr>
      <w:r>
        <w:t>The Company shall not be required (i) to transfer on its books any of the Shares or the Conversion Shares which shall have been sold or transferred in violation of any of the provisions set forth in this Agreement or set forth in the Company’s Bylaws or (ii) to treat as the owner of such Shares or Conversion Shares or to accord the right to vote or to pay dividends to any transferee to whom such Shares or Conversion Shares shall have been so transferred.</w:t>
      </w:r>
    </w:p>
    <w:p w14:paraId="41CD12B1" w14:textId="6007B43E" w:rsidR="005252EA" w:rsidRDefault="005252EA" w:rsidP="005F5D01">
      <w:pPr>
        <w:pStyle w:val="ListParagraph"/>
        <w:numPr>
          <w:ilvl w:val="1"/>
          <w:numId w:val="4"/>
        </w:numPr>
        <w:spacing w:after="240"/>
        <w:contextualSpacing w:val="0"/>
        <w:jc w:val="both"/>
      </w:pPr>
      <w:r>
        <w:t>Purchaser hereby agrees that Purchaser shall not sell, dispose of, transfer, make any short sale of, grant any option for the purchase of, or enter into any hedging or similar transaction with the same economic effect as a sale, any Common Stock or other securities of the Company held by Purchaser, including the Shares and the Conversion Shares (the “</w:t>
      </w:r>
      <w:r w:rsidRPr="0091068D">
        <w:rPr>
          <w:b/>
          <w:i/>
        </w:rPr>
        <w:t>Restricted Securities</w:t>
      </w:r>
      <w:r>
        <w:t>”), during the 180-day period following the effective date of a registration statement of the Company filed under the Securities Act (the “</w:t>
      </w:r>
      <w:r w:rsidRPr="0091068D">
        <w:rPr>
          <w:b/>
          <w:i/>
        </w:rPr>
        <w:t>Lock Up Period</w:t>
      </w:r>
      <w:r>
        <w:t xml:space="preserve">”) (or such longer period, not to exceed eighteen (18) days after the expiration of the 180-day period, as the underwriters or the Company shall request in order to facilitate compliance with NASD Rule 2711).  Purchaser agrees to execute and deliver such other agreements as may be reasonably requested by the Company and/or the managing underwriter that are consistent with the foregoing or that are necessary to give further effect thereto.  In order to enforce the foregoing covenant, the Company may impose stop-transfer instructions with respect to Purchaser’s Restricted Securities until the end of such period. </w:t>
      </w:r>
      <w:r w:rsidR="007628BB">
        <w:t xml:space="preserve"> </w:t>
      </w:r>
      <w:r>
        <w:t>The underwriters of the shares of the Company’s stock are intended third party beneficiaries of this Section 5(c) and shall have the right, power and authority to enforce the provisions hereof as though they were a party hereto.</w:t>
      </w:r>
    </w:p>
    <w:p w14:paraId="7352E352" w14:textId="26AF116F" w:rsidR="005252EA" w:rsidRPr="005F5D01" w:rsidRDefault="005252EA" w:rsidP="0084295F">
      <w:pPr>
        <w:pStyle w:val="ListParagraph"/>
        <w:numPr>
          <w:ilvl w:val="0"/>
          <w:numId w:val="4"/>
        </w:numPr>
        <w:spacing w:after="240"/>
        <w:contextualSpacing w:val="0"/>
        <w:jc w:val="both"/>
        <w:rPr>
          <w:b/>
        </w:rPr>
      </w:pPr>
      <w:r w:rsidRPr="005F5D01">
        <w:rPr>
          <w:b/>
        </w:rPr>
        <w:t>Restrictive Legends.</w:t>
      </w:r>
    </w:p>
    <w:p w14:paraId="4DE7A485" w14:textId="77777777" w:rsidR="005252EA" w:rsidRDefault="005252EA" w:rsidP="00546613">
      <w:pPr>
        <w:spacing w:after="240"/>
        <w:ind w:firstLine="1440"/>
        <w:jc w:val="both"/>
      </w:pPr>
      <w:r>
        <w:t>All certificates representing the Shares and the Conversion Shares shall have endorsed thereon the following legends:</w:t>
      </w:r>
    </w:p>
    <w:p w14:paraId="4A9F532A" w14:textId="505DBA09" w:rsidR="005252EA" w:rsidRDefault="005252EA" w:rsidP="00546613">
      <w:pPr>
        <w:pStyle w:val="ListParagraph"/>
        <w:numPr>
          <w:ilvl w:val="1"/>
          <w:numId w:val="4"/>
        </w:numPr>
        <w:spacing w:after="240"/>
        <w:contextualSpacing w:val="0"/>
        <w:jc w:val="both"/>
      </w:pPr>
      <w:r>
        <w:t>“THE SHARES REPRESENTED BY THIS CERTIFICATE HAVE NOT BEEN REGISTERED UNDER THE SECURITIES ACT OF 1933, AS AMENDED.  THEY MAY NOT BE SOLD, OFFERED FOR SALE, PLEDGED OR HYPOTHECATED IN THE ABSENCE OF AN EFFECTIVE REGISTRATION STATEMENT AS TO THE SECURITIES UNDER SAID ACT OR OPINION OF COUNSEL SATISFACTORY TO THE COMPANY THAT SUCH REGISTRATION IS NOT REQUIRED.”</w:t>
      </w:r>
    </w:p>
    <w:p w14:paraId="5D464BB9" w14:textId="1DBD08F3" w:rsidR="005252EA" w:rsidRDefault="005252EA" w:rsidP="00546613">
      <w:pPr>
        <w:pStyle w:val="ListParagraph"/>
        <w:numPr>
          <w:ilvl w:val="1"/>
          <w:numId w:val="4"/>
        </w:numPr>
        <w:spacing w:after="240"/>
        <w:contextualSpacing w:val="0"/>
        <w:jc w:val="both"/>
      </w:pPr>
      <w:r>
        <w:t>“THE SHARES REPRESENTED BY THIS CERTIFICATE ARE SUBJECT TO A RIGHT OF FIRST REFUSAL IN FAVOR OF THE COMPANY AS PROVIDED IN THE COMPANY’S BYLAWS.”</w:t>
      </w:r>
    </w:p>
    <w:p w14:paraId="6CD3CD66" w14:textId="780D09CC" w:rsidR="005252EA" w:rsidRDefault="005252EA" w:rsidP="00546613">
      <w:pPr>
        <w:pStyle w:val="ListParagraph"/>
        <w:numPr>
          <w:ilvl w:val="1"/>
          <w:numId w:val="4"/>
        </w:numPr>
        <w:spacing w:after="240"/>
        <w:contextualSpacing w:val="0"/>
        <w:jc w:val="both"/>
      </w:pPr>
      <w:r>
        <w:t>Any legend required under applicable state securities laws.</w:t>
      </w:r>
    </w:p>
    <w:p w14:paraId="147BB00D" w14:textId="273DC7CE" w:rsidR="005252EA" w:rsidRPr="00546613" w:rsidRDefault="005252EA" w:rsidP="0084295F">
      <w:pPr>
        <w:pStyle w:val="ListParagraph"/>
        <w:numPr>
          <w:ilvl w:val="0"/>
          <w:numId w:val="4"/>
        </w:numPr>
        <w:spacing w:after="240"/>
        <w:contextualSpacing w:val="0"/>
        <w:jc w:val="both"/>
        <w:rPr>
          <w:b/>
        </w:rPr>
      </w:pPr>
      <w:r w:rsidRPr="00546613">
        <w:rPr>
          <w:b/>
        </w:rPr>
        <w:t>Miscellaneous.</w:t>
      </w:r>
    </w:p>
    <w:p w14:paraId="681DAF13" w14:textId="0826E482" w:rsidR="005252EA" w:rsidRDefault="005252EA" w:rsidP="00546613">
      <w:pPr>
        <w:pStyle w:val="ListParagraph"/>
        <w:numPr>
          <w:ilvl w:val="1"/>
          <w:numId w:val="4"/>
        </w:numPr>
        <w:spacing w:after="240"/>
        <w:contextualSpacing w:val="0"/>
        <w:jc w:val="both"/>
      </w:pPr>
      <w:r w:rsidRPr="00546613">
        <w:rPr>
          <w:b/>
        </w:rPr>
        <w:t>Further Assurances.</w:t>
      </w:r>
      <w:r>
        <w:t xml:space="preserve">  The parties agree to execute such further instruments and to take all such further action as may reasonably be necessary to carry out the intent of this Agreement.</w:t>
      </w:r>
    </w:p>
    <w:p w14:paraId="55D24943" w14:textId="57190B51" w:rsidR="005252EA" w:rsidRDefault="005252EA" w:rsidP="00546613">
      <w:pPr>
        <w:pStyle w:val="ListParagraph"/>
        <w:numPr>
          <w:ilvl w:val="1"/>
          <w:numId w:val="4"/>
        </w:numPr>
        <w:spacing w:after="240"/>
        <w:contextualSpacing w:val="0"/>
        <w:jc w:val="both"/>
      </w:pPr>
      <w:r w:rsidRPr="00546613">
        <w:rPr>
          <w:b/>
        </w:rPr>
        <w:t>Notices.</w:t>
      </w:r>
      <w:r>
        <w:t xml:space="preserve">  Any notice required or permitted hereunder shall be given in writing and shall be deemed effectively given upon personal delivery or delivery by facsimile, electronic mail or express courier, or upon deposit in the United States Post Office, by registered or certified mail with postage and fees prepaid, addressed to the other party hereto at its address, electronic mail address, or facsimile number hereinafter shown below its signature or at such other address as such party may designate by ten (10) days’ advance written notice to the other party hereto.</w:t>
      </w:r>
    </w:p>
    <w:p w14:paraId="7F51759D" w14:textId="4555BBD3" w:rsidR="005252EA" w:rsidRDefault="005252EA" w:rsidP="00546613">
      <w:pPr>
        <w:pStyle w:val="ListParagraph"/>
        <w:numPr>
          <w:ilvl w:val="1"/>
          <w:numId w:val="4"/>
        </w:numPr>
        <w:spacing w:after="240"/>
        <w:contextualSpacing w:val="0"/>
        <w:jc w:val="both"/>
      </w:pPr>
      <w:r w:rsidRPr="00546613">
        <w:rPr>
          <w:b/>
        </w:rPr>
        <w:t>Governing Law.</w:t>
      </w:r>
      <w:r>
        <w:t xml:space="preserve">  This Agreement shall be governed by and construed in accordance with the </w:t>
      </w:r>
      <w:r w:rsidR="0091068D">
        <w:t>laws of the State of Delaware.</w:t>
      </w:r>
    </w:p>
    <w:p w14:paraId="731A05E9" w14:textId="416421A1" w:rsidR="005252EA" w:rsidRDefault="005252EA" w:rsidP="00546613">
      <w:pPr>
        <w:pStyle w:val="ListParagraph"/>
        <w:numPr>
          <w:ilvl w:val="1"/>
          <w:numId w:val="4"/>
        </w:numPr>
        <w:spacing w:after="240"/>
        <w:contextualSpacing w:val="0"/>
        <w:jc w:val="both"/>
      </w:pPr>
      <w:r w:rsidRPr="00546613">
        <w:rPr>
          <w:b/>
        </w:rPr>
        <w:t>Successors and Assigns.</w:t>
      </w:r>
      <w:r>
        <w:t xml:space="preserve">  This Agreement shall inure to the benefit of the successors and assigns of the Company and, subject to the restrictions on transfer herein set forth, shall be binding upon Purchaser, his or her heirs, executors, administrators, successors and assigns.</w:t>
      </w:r>
    </w:p>
    <w:p w14:paraId="4861C1D7" w14:textId="54B27BBA" w:rsidR="005252EA" w:rsidRDefault="005252EA" w:rsidP="00546613">
      <w:pPr>
        <w:pStyle w:val="ListParagraph"/>
        <w:numPr>
          <w:ilvl w:val="1"/>
          <w:numId w:val="4"/>
        </w:numPr>
        <w:spacing w:after="240"/>
        <w:contextualSpacing w:val="0"/>
        <w:jc w:val="both"/>
      </w:pPr>
      <w:r w:rsidRPr="00546613">
        <w:rPr>
          <w:b/>
        </w:rPr>
        <w:t>Entire Agreement.</w:t>
      </w:r>
      <w:r>
        <w:t xml:space="preserve">  This Agreement constitutes the entire agreement between the parties with respect to the subject matter hereof and supersedes and merges all prior agreements or understand</w:t>
      </w:r>
      <w:r w:rsidR="0091068D">
        <w:t>ings, whether written or oral.</w:t>
      </w:r>
    </w:p>
    <w:p w14:paraId="69563B3B" w14:textId="5696AF16" w:rsidR="005252EA" w:rsidRDefault="005252EA" w:rsidP="00546613">
      <w:pPr>
        <w:pStyle w:val="ListParagraph"/>
        <w:numPr>
          <w:ilvl w:val="1"/>
          <w:numId w:val="4"/>
        </w:numPr>
        <w:spacing w:after="240"/>
        <w:contextualSpacing w:val="0"/>
        <w:jc w:val="both"/>
      </w:pPr>
      <w:r w:rsidRPr="00546613">
        <w:rPr>
          <w:b/>
        </w:rPr>
        <w:t>Severability.</w:t>
      </w:r>
      <w:r>
        <w:t xml:space="preserve">  If one or more provisions of this Agreement are held to be unenforceable under applicable law, portions of such provisions, or such provisions in their entirety, to the extent necessary, shall be severed from this Agreement, and the balance of this Agreement shall be interpreted as if such provisions were so excluded and shall be enforceable in accordance with its terms.</w:t>
      </w:r>
    </w:p>
    <w:p w14:paraId="2C2B3661" w14:textId="6DC7B3E2" w:rsidR="005252EA" w:rsidRDefault="005252EA" w:rsidP="00546613">
      <w:pPr>
        <w:pStyle w:val="ListParagraph"/>
        <w:numPr>
          <w:ilvl w:val="1"/>
          <w:numId w:val="4"/>
        </w:numPr>
        <w:spacing w:after="240"/>
        <w:contextualSpacing w:val="0"/>
        <w:jc w:val="both"/>
      </w:pPr>
      <w:r w:rsidRPr="00546613">
        <w:rPr>
          <w:b/>
        </w:rPr>
        <w:t>Counterparts.</w:t>
      </w:r>
      <w:r>
        <w:t xml:space="preserve">  This Agreement may be executed in two or more counterparts, each of which shall be deemed an original, but all of which together shall constitute one and the same instrument.  Either or all parties may execute this Agreement by facsimile signature or scanned signature in PDF format, and any such facsimile signature or scanned signature, if identified, legible and complete, shall be deemed an original signature and each of the parties is hereby authorized to rely thereon.</w:t>
      </w:r>
    </w:p>
    <w:p w14:paraId="10D1E8F4" w14:textId="214CDD97" w:rsidR="005252EA" w:rsidRDefault="005252EA" w:rsidP="00546613">
      <w:pPr>
        <w:pStyle w:val="ListParagraph"/>
        <w:numPr>
          <w:ilvl w:val="1"/>
          <w:numId w:val="4"/>
        </w:numPr>
        <w:spacing w:after="240"/>
        <w:contextualSpacing w:val="0"/>
        <w:jc w:val="both"/>
      </w:pPr>
      <w:r w:rsidRPr="00546613">
        <w:rPr>
          <w:b/>
        </w:rPr>
        <w:t>Amendment and Waiver.</w:t>
      </w:r>
      <w:r>
        <w:t xml:space="preserve">  This Agreement may be amended or modified, and the obligations of the Company and the rights of the Series AA Investors under the Subscription Agreements (including the rights of Purchaser under this Agreement) may be waived or terminated, only upon the written consent of the Company and holders of a majority of the shares of Series AA Preferred purchased or agreed to be purchased pursuant to the Subscription Agreements (the “</w:t>
      </w:r>
      <w:r w:rsidRPr="0091068D">
        <w:rPr>
          <w:b/>
          <w:i/>
        </w:rPr>
        <w:t>Required Series AA Investors</w:t>
      </w:r>
      <w:r>
        <w:t>”).  Purchaser acknowledges that because this Agreement may be amended or terminated with the consent of the Required Series AA Investors, Purchaser’s rights hereunder, including Purchaser’s preemptive rights, may be amended, terminated or waived without Purchaser’s individual consent.  Upon the effectuation of such termination, waiver or amendment in conformance with this Section 7(h), the Company shall promptly give written notice thereof to the record holders of the Series AA Preferred who have not previously consented thereto in writing.</w:t>
      </w:r>
    </w:p>
    <w:p w14:paraId="5FE29794" w14:textId="1CDDA055" w:rsidR="005252EA" w:rsidRDefault="005252EA" w:rsidP="00546613">
      <w:pPr>
        <w:pStyle w:val="ListParagraph"/>
        <w:numPr>
          <w:ilvl w:val="1"/>
          <w:numId w:val="4"/>
        </w:numPr>
        <w:spacing w:after="240"/>
        <w:contextualSpacing w:val="0"/>
        <w:jc w:val="both"/>
      </w:pPr>
      <w:r w:rsidRPr="00546613">
        <w:rPr>
          <w:b/>
        </w:rPr>
        <w:t>Expenses.</w:t>
      </w:r>
      <w:r>
        <w:t xml:space="preserve">  Subject to Section 7(k) hereof, each party shall pay all costs and expenses that it incurs with respect to the negotiation, execution, delivery and performance of this Agreement.</w:t>
      </w:r>
    </w:p>
    <w:p w14:paraId="12DDF8C9" w14:textId="7D5C9260" w:rsidR="005252EA" w:rsidRDefault="005252EA" w:rsidP="00546613">
      <w:pPr>
        <w:pStyle w:val="ListParagraph"/>
        <w:numPr>
          <w:ilvl w:val="1"/>
          <w:numId w:val="4"/>
        </w:numPr>
        <w:spacing w:after="240"/>
        <w:contextualSpacing w:val="0"/>
        <w:jc w:val="both"/>
      </w:pPr>
      <w:r w:rsidRPr="00546613">
        <w:rPr>
          <w:b/>
        </w:rPr>
        <w:t>Delays or Omissions.</w:t>
      </w:r>
      <w:r>
        <w:t xml:space="preserve">  It is agreed that no delay or omission to exercise any right, power or remedy accruing to any party, upon any breach, default or noncompliance by another party under this Agreement, the Subscription Agreements or the Charter, shall impair any such right, power or remedy, nor shall it be construed to be a waiver of any such breach, default or noncompliance, or any acquiescence therein, or of or in any similar breach, default or noncompliance thereafter occurring.  It is further agreed that any waiver, permit, consent or approval of any kind or character on any party’s part of any breach, default or noncompliance under this Agreement, the Subscription Agreements or the Charter or any waiver on such party’s part of any provisions or conditions of this Agreement, the Subscription Agreements, or the Charter must be in writing and shall be effective only to the extent specifically set forth in such writing.  All remedies, either under this Agreement, the Subscription Agreements, the Charter,  law, or otherwise afforded to any party, shall be cumulative and not alternative.</w:t>
      </w:r>
    </w:p>
    <w:p w14:paraId="689DFFB3" w14:textId="6368613D" w:rsidR="005252EA" w:rsidRDefault="005252EA" w:rsidP="00546613">
      <w:pPr>
        <w:pStyle w:val="ListParagraph"/>
        <w:numPr>
          <w:ilvl w:val="1"/>
          <w:numId w:val="4"/>
        </w:numPr>
        <w:spacing w:after="240"/>
        <w:contextualSpacing w:val="0"/>
        <w:jc w:val="both"/>
      </w:pPr>
      <w:r w:rsidRPr="00546613">
        <w:rPr>
          <w:b/>
        </w:rPr>
        <w:t>Attorneys’ Fees.</w:t>
      </w:r>
      <w:r>
        <w:t xml:space="preserve">  In the event that any suit or action is instituted under or in relation to this Agreement, including without limitation to enforce any provision in this Agreement, the prevailing party in such dispute shall be entitled to recover from the losing party all fees, costs and expenses of enforcing any right of such prevailing party under or with respect to this Agreement, including without limitation, such reasonable fees and expenses of attorneys and accountants, which shall include, without limitation, all fees, costs and expenses of appeals.</w:t>
      </w:r>
    </w:p>
    <w:p w14:paraId="10675736" w14:textId="36673E72" w:rsidR="005252EA" w:rsidRDefault="005252EA" w:rsidP="00546613">
      <w:pPr>
        <w:pStyle w:val="ListParagraph"/>
        <w:numPr>
          <w:ilvl w:val="1"/>
          <w:numId w:val="4"/>
        </w:numPr>
        <w:spacing w:after="240"/>
        <w:contextualSpacing w:val="0"/>
        <w:jc w:val="both"/>
      </w:pPr>
      <w:r w:rsidRPr="00546613">
        <w:rPr>
          <w:b/>
        </w:rPr>
        <w:t>Titles and Subtitles.</w:t>
      </w:r>
      <w:r>
        <w:t xml:space="preserve">  The titles of the sections and subsections of this Agreement are for convenience of reference only and are not to be considered in construing this Agreement.</w:t>
      </w:r>
    </w:p>
    <w:p w14:paraId="67897CA5" w14:textId="31D37AB9" w:rsidR="005252EA" w:rsidRDefault="005252EA" w:rsidP="00546613">
      <w:pPr>
        <w:pStyle w:val="ListParagraph"/>
        <w:numPr>
          <w:ilvl w:val="1"/>
          <w:numId w:val="4"/>
        </w:numPr>
        <w:spacing w:after="240"/>
        <w:contextualSpacing w:val="0"/>
        <w:jc w:val="both"/>
      </w:pPr>
      <w:r w:rsidRPr="00546613">
        <w:rPr>
          <w:b/>
        </w:rPr>
        <w:t>Broker’s Fees.</w:t>
      </w:r>
      <w:r>
        <w:t xml:space="preserve">  Each party hereto represents and warrants that no agent, broker, investment banker, person or firm acting on behalf of or under the authority of such party hereto is or will be entitled to any broker’s or finder’s fee or any other commission directly or indirectly in connection with the transactions contemplated herein.  Each party hereto further agrees to indemnify each other party for any claims, losses or expenses incurred by such other party as a result of the representation made by the indemnifying party in this Section 7(m) being untrue.</w:t>
      </w:r>
    </w:p>
    <w:p w14:paraId="207FB177" w14:textId="54B23FD6" w:rsidR="005252EA" w:rsidRDefault="005252EA" w:rsidP="006A60DA">
      <w:pPr>
        <w:pStyle w:val="ListParagraph"/>
        <w:numPr>
          <w:ilvl w:val="1"/>
          <w:numId w:val="4"/>
        </w:numPr>
        <w:spacing w:after="240"/>
        <w:contextualSpacing w:val="0"/>
        <w:jc w:val="both"/>
      </w:pPr>
      <w:r w:rsidRPr="00546613">
        <w:rPr>
          <w:b/>
        </w:rPr>
        <w:t>Pronouns.</w:t>
      </w:r>
      <w:r>
        <w:t xml:space="preserve">  All pronouns contained herein, and any variations thereof, shall be deemed to refer to the masculine, feminine or neutral, singular or plural, as to the identity of the parties hereto may require.</w:t>
      </w:r>
    </w:p>
    <w:p w14:paraId="5DC7EECE" w14:textId="6C73B83C" w:rsidR="005252EA" w:rsidRDefault="00546613" w:rsidP="00546613">
      <w:pPr>
        <w:pStyle w:val="ListParagraph"/>
        <w:numPr>
          <w:ilvl w:val="1"/>
          <w:numId w:val="4"/>
        </w:numPr>
        <w:spacing w:after="240"/>
        <w:contextualSpacing w:val="0"/>
        <w:jc w:val="both"/>
      </w:pPr>
      <w:r>
        <w:t>[</w:t>
      </w:r>
      <w:r w:rsidR="005252EA" w:rsidRPr="00546613">
        <w:rPr>
          <w:b/>
        </w:rPr>
        <w:t>Waiver of Conflicts.</w:t>
      </w:r>
      <w:r w:rsidR="005252EA">
        <w:t xml:space="preserve">  Each party to this Agreement acknowledges that [prep</w:t>
      </w:r>
      <w:r>
        <w:t>aring law firm] (“</w:t>
      </w:r>
      <w:r w:rsidRPr="00271340">
        <w:rPr>
          <w:b/>
          <w:i/>
        </w:rPr>
        <w:t>Company Counse</w:t>
      </w:r>
      <w:r w:rsidR="005252EA" w:rsidRPr="00271340">
        <w:rPr>
          <w:b/>
          <w:i/>
        </w:rPr>
        <w:t>l</w:t>
      </w:r>
      <w:r w:rsidR="005252EA">
        <w:t>”), outside general counsel to the Company, has in the past performed and is or may now or in the future represent one or more Series AA Investors or their affiliates in matters unrelated to the transactions contemplated by the Subscription Agreements (the “</w:t>
      </w:r>
      <w:r w:rsidR="005252EA" w:rsidRPr="0091068D">
        <w:rPr>
          <w:b/>
          <w:i/>
        </w:rPr>
        <w:t>Financing</w:t>
      </w:r>
      <w:r w:rsidR="005252EA">
        <w:t xml:space="preserve">”), including representation of such Series AA Investors or their affiliates in matters of a similar nature to the Financing.  The applicable rules of professional conduct require that Company </w:t>
      </w:r>
      <w:r>
        <w:t>Counsel</w:t>
      </w:r>
      <w:r w:rsidR="005252EA">
        <w:t xml:space="preserve"> inform the parties hereunder of this representation and obtain their consent.  Company </w:t>
      </w:r>
      <w:r>
        <w:t>Counsel</w:t>
      </w:r>
      <w:r w:rsidR="005252EA">
        <w:t xml:space="preserve"> has served as outside general counsel to the Company and has negotiated the terms of the Financing solely on behalf of the Company.  The Company and each Series AA Investor hereby (a) acknowledge that they have had an opportunity to ask for and have obtained information relevant to such representation, including disclosure of the reasonably foreseeable adverse consequences of such representation; (b) acknowledge that with respect to the Financing, Company </w:t>
      </w:r>
      <w:r>
        <w:t>Counsel</w:t>
      </w:r>
      <w:r w:rsidR="005252EA">
        <w:t xml:space="preserve"> has represented solely the Company, and not any Series AA Investor or any stockholder, director or employee of the Company or any Series AA Investor; and (c) gives its informed consent to Company </w:t>
      </w:r>
      <w:r>
        <w:t>Counsel</w:t>
      </w:r>
      <w:r w:rsidR="005252EA">
        <w:t>’s representation of the Company in the Financing.]</w:t>
      </w:r>
    </w:p>
    <w:p w14:paraId="5A21471A" w14:textId="77777777" w:rsidR="005252EA" w:rsidRPr="00057BD0" w:rsidRDefault="005252EA" w:rsidP="00057BD0">
      <w:pPr>
        <w:spacing w:after="240"/>
        <w:jc w:val="center"/>
        <w:rPr>
          <w:b/>
        </w:rPr>
      </w:pPr>
      <w:r w:rsidRPr="00057BD0">
        <w:rPr>
          <w:b/>
        </w:rPr>
        <w:t>[REMAINDER OF THIS PAGE INTENTIONALLY LEFT BLANK]</w:t>
      </w:r>
    </w:p>
    <w:p w14:paraId="21BC2C0D" w14:textId="77777777" w:rsidR="00057BD0" w:rsidRDefault="00057BD0" w:rsidP="005252EA">
      <w:pPr>
        <w:spacing w:after="240"/>
        <w:jc w:val="both"/>
        <w:sectPr w:rsidR="00057BD0"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3B15C410" w14:textId="65C06A55" w:rsidR="005252EA" w:rsidRDefault="005252EA" w:rsidP="003A3A41">
      <w:pPr>
        <w:spacing w:after="240"/>
        <w:ind w:firstLine="720"/>
        <w:jc w:val="both"/>
      </w:pPr>
      <w:r w:rsidRPr="003A3A41">
        <w:rPr>
          <w:b/>
        </w:rPr>
        <w:t>IN WITNESS WHEREOF</w:t>
      </w:r>
      <w:r>
        <w:t>, the parties hereto have executed this Agreement as of the day and year first above written.</w:t>
      </w:r>
    </w:p>
    <w:p w14:paraId="052A6AAB" w14:textId="2A80FEF0" w:rsidR="005252EA" w:rsidRPr="0091068D" w:rsidRDefault="005252EA" w:rsidP="005252EA">
      <w:pPr>
        <w:spacing w:after="240"/>
        <w:jc w:val="both"/>
        <w:rPr>
          <w:b/>
        </w:rPr>
      </w:pPr>
      <w:r w:rsidRPr="0091068D">
        <w:rPr>
          <w:b/>
        </w:rPr>
        <w:t>PURCHASER:</w:t>
      </w:r>
    </w:p>
    <w:p w14:paraId="474AD97E" w14:textId="12854553" w:rsidR="005252EA" w:rsidRDefault="005252EA" w:rsidP="0091068D">
      <w:pPr>
        <w:jc w:val="both"/>
      </w:pPr>
      <w:r>
        <w:t>By:</w:t>
      </w:r>
      <w:r w:rsidR="0091068D">
        <w:t>__________________________</w:t>
      </w:r>
    </w:p>
    <w:p w14:paraId="1D869988" w14:textId="4211E3D6" w:rsidR="005252EA" w:rsidRDefault="005252EA" w:rsidP="0091068D">
      <w:pPr>
        <w:jc w:val="both"/>
      </w:pPr>
      <w:r>
        <w:t>Name:</w:t>
      </w:r>
      <w:r w:rsidR="0091068D">
        <w:t>________________________</w:t>
      </w:r>
    </w:p>
    <w:p w14:paraId="161E3A23" w14:textId="1937A5F0" w:rsidR="005252EA" w:rsidRDefault="005252EA" w:rsidP="005252EA">
      <w:pPr>
        <w:spacing w:after="240"/>
        <w:jc w:val="both"/>
      </w:pPr>
      <w:r>
        <w:t>Title:</w:t>
      </w:r>
      <w:r w:rsidR="0091068D">
        <w:t>_________________________</w:t>
      </w:r>
    </w:p>
    <w:p w14:paraId="20A8FECC" w14:textId="3EFE5A65" w:rsidR="005252EA" w:rsidRDefault="005252EA" w:rsidP="0091068D">
      <w:pPr>
        <w:jc w:val="both"/>
      </w:pPr>
      <w:r>
        <w:t>Address:</w:t>
      </w:r>
      <w:r w:rsidR="0091068D" w:rsidRPr="0091068D">
        <w:t xml:space="preserve"> </w:t>
      </w:r>
      <w:r w:rsidR="0091068D">
        <w:t>_____________________</w:t>
      </w:r>
    </w:p>
    <w:p w14:paraId="54623C38" w14:textId="066D5737" w:rsidR="005252EA" w:rsidRDefault="0091068D" w:rsidP="0091068D">
      <w:pPr>
        <w:jc w:val="both"/>
      </w:pPr>
      <w:r>
        <w:t>__________________________</w:t>
      </w:r>
      <w:r>
        <w:t>___</w:t>
      </w:r>
    </w:p>
    <w:p w14:paraId="57AD09F5" w14:textId="38D6ECBA" w:rsidR="005252EA" w:rsidRDefault="0091068D" w:rsidP="005252EA">
      <w:pPr>
        <w:spacing w:after="240"/>
        <w:jc w:val="both"/>
      </w:pPr>
      <w:r>
        <w:t>__________________________</w:t>
      </w:r>
      <w:r>
        <w:t>___</w:t>
      </w:r>
    </w:p>
    <w:p w14:paraId="2463DF23" w14:textId="5498631B" w:rsidR="005252EA" w:rsidRDefault="005252EA" w:rsidP="0091068D">
      <w:pPr>
        <w:jc w:val="both"/>
      </w:pPr>
      <w:r>
        <w:t>Telephone</w:t>
      </w:r>
      <w:r w:rsidR="0091068D">
        <w:t>:____________________</w:t>
      </w:r>
    </w:p>
    <w:p w14:paraId="2674011B" w14:textId="3E6AC24D" w:rsidR="005252EA" w:rsidRDefault="005252EA" w:rsidP="0091068D">
      <w:pPr>
        <w:jc w:val="both"/>
      </w:pPr>
      <w:r>
        <w:t>Fax:</w:t>
      </w:r>
      <w:r w:rsidR="0091068D">
        <w:t>_________________________</w:t>
      </w:r>
    </w:p>
    <w:p w14:paraId="4B5B35E9" w14:textId="23AA0E92" w:rsidR="005252EA" w:rsidRDefault="005252EA" w:rsidP="005252EA">
      <w:pPr>
        <w:spacing w:after="240"/>
        <w:jc w:val="both"/>
      </w:pPr>
      <w:r>
        <w:t>Em</w:t>
      </w:r>
      <w:r w:rsidR="0091068D">
        <w:t>ail:_______________________</w:t>
      </w:r>
    </w:p>
    <w:p w14:paraId="053001F7" w14:textId="77777777" w:rsidR="005252EA" w:rsidRDefault="005252EA" w:rsidP="005252EA">
      <w:pPr>
        <w:spacing w:after="240"/>
        <w:jc w:val="both"/>
      </w:pPr>
    </w:p>
    <w:p w14:paraId="212BF660" w14:textId="77777777" w:rsidR="005252EA" w:rsidRDefault="005252EA" w:rsidP="005252EA">
      <w:pPr>
        <w:spacing w:after="240"/>
        <w:jc w:val="both"/>
      </w:pPr>
    </w:p>
    <w:p w14:paraId="04B62298" w14:textId="672A15D4" w:rsidR="005252EA" w:rsidRPr="0091068D" w:rsidRDefault="005252EA" w:rsidP="005252EA">
      <w:pPr>
        <w:spacing w:after="240"/>
        <w:jc w:val="both"/>
        <w:rPr>
          <w:b/>
        </w:rPr>
      </w:pPr>
      <w:r w:rsidRPr="0091068D">
        <w:rPr>
          <w:b/>
        </w:rPr>
        <w:t>ACCEPTED:</w:t>
      </w:r>
    </w:p>
    <w:p w14:paraId="5A59D033" w14:textId="77777777" w:rsidR="005252EA" w:rsidRPr="0091068D" w:rsidRDefault="005252EA" w:rsidP="005252EA">
      <w:pPr>
        <w:spacing w:after="240"/>
        <w:jc w:val="both"/>
        <w:rPr>
          <w:b/>
        </w:rPr>
      </w:pPr>
      <w:r w:rsidRPr="0091068D">
        <w:rPr>
          <w:b/>
        </w:rPr>
        <w:t>NEWCO, INC.</w:t>
      </w:r>
    </w:p>
    <w:p w14:paraId="645CC982" w14:textId="77777777" w:rsidR="0091068D" w:rsidRDefault="0091068D" w:rsidP="0091068D">
      <w:pPr>
        <w:jc w:val="both"/>
      </w:pPr>
      <w:r>
        <w:t>By:__________________________</w:t>
      </w:r>
    </w:p>
    <w:p w14:paraId="56AB7A35" w14:textId="10B7E01F" w:rsidR="0091068D" w:rsidRDefault="0091068D" w:rsidP="0091068D">
      <w:pPr>
        <w:jc w:val="both"/>
      </w:pPr>
      <w:r>
        <w:t>Name:</w:t>
      </w:r>
      <w:r>
        <w:t xml:space="preserve"> </w:t>
      </w:r>
      <w:r>
        <w:t>[President/CEO Name]</w:t>
      </w:r>
    </w:p>
    <w:p w14:paraId="0B7C385F" w14:textId="714EC501" w:rsidR="0091068D" w:rsidRDefault="0091068D" w:rsidP="0091068D">
      <w:pPr>
        <w:spacing w:after="240"/>
        <w:jc w:val="both"/>
      </w:pPr>
      <w:r>
        <w:t>Title:</w:t>
      </w:r>
      <w:r w:rsidRPr="0091068D">
        <w:t xml:space="preserve"> </w:t>
      </w:r>
      <w:r>
        <w:t>President</w:t>
      </w:r>
    </w:p>
    <w:p w14:paraId="378B4451" w14:textId="108F9572" w:rsidR="0091068D" w:rsidRDefault="0091068D" w:rsidP="0091068D">
      <w:pPr>
        <w:jc w:val="both"/>
      </w:pPr>
      <w:r>
        <w:t>Address:</w:t>
      </w:r>
      <w:r w:rsidRPr="0091068D">
        <w:t xml:space="preserve"> </w:t>
      </w:r>
      <w:r>
        <w:t>[Address]</w:t>
      </w:r>
    </w:p>
    <w:p w14:paraId="519E96E0" w14:textId="77777777" w:rsidR="0091068D" w:rsidRDefault="0091068D" w:rsidP="0091068D">
      <w:pPr>
        <w:spacing w:after="240"/>
        <w:jc w:val="both"/>
      </w:pPr>
      <w:r>
        <w:t>_____________________________</w:t>
      </w:r>
    </w:p>
    <w:p w14:paraId="4C0EF19B" w14:textId="4B7FCA2E" w:rsidR="0091068D" w:rsidRDefault="0091068D" w:rsidP="0091068D">
      <w:pPr>
        <w:jc w:val="both"/>
      </w:pPr>
      <w:r>
        <w:t>Telephone:</w:t>
      </w:r>
      <w:r>
        <w:t xml:space="preserve"> </w:t>
      </w:r>
      <w:r>
        <w:t>[Telephone]</w:t>
      </w:r>
    </w:p>
    <w:p w14:paraId="7457A62A" w14:textId="3853AED0" w:rsidR="0091068D" w:rsidRDefault="0091068D" w:rsidP="0091068D">
      <w:pPr>
        <w:jc w:val="both"/>
      </w:pPr>
      <w:r>
        <w:t>Fax:</w:t>
      </w:r>
      <w:r>
        <w:t xml:space="preserve"> </w:t>
      </w:r>
      <w:r>
        <w:t>[Fax]</w:t>
      </w:r>
    </w:p>
    <w:p w14:paraId="618E97CF" w14:textId="2AF1C519" w:rsidR="0091068D" w:rsidRDefault="0091068D" w:rsidP="0091068D">
      <w:pPr>
        <w:spacing w:after="240"/>
        <w:jc w:val="both"/>
      </w:pPr>
      <w:r>
        <w:t>Email:</w:t>
      </w:r>
      <w:r>
        <w:t xml:space="preserve"> </w:t>
      </w:r>
      <w:r>
        <w:t>[Email]</w:t>
      </w:r>
    </w:p>
    <w:p w14:paraId="4BE27D74" w14:textId="549B30B5" w:rsidR="00F768E1" w:rsidRDefault="00F768E1">
      <w:r>
        <w:br w:type="page"/>
      </w:r>
    </w:p>
    <w:p w14:paraId="60A8780D" w14:textId="77777777" w:rsidR="005252EA" w:rsidRDefault="005252EA" w:rsidP="005252EA">
      <w:pPr>
        <w:spacing w:after="240"/>
        <w:jc w:val="both"/>
      </w:pPr>
    </w:p>
    <w:p w14:paraId="5801D4B0" w14:textId="77777777" w:rsidR="003A3A41" w:rsidRDefault="003A3A41" w:rsidP="005252EA">
      <w:pPr>
        <w:spacing w:after="240"/>
        <w:jc w:val="both"/>
        <w:sectPr w:rsidR="003A3A41" w:rsidSect="003B3B36">
          <w:footerReference w:type="default" r:id="rId11"/>
          <w:footerReference w:type="first" r:id="rId12"/>
          <w:pgSz w:w="12240" w:h="15840"/>
          <w:pgMar w:top="1440" w:right="1440" w:bottom="1440" w:left="1440" w:header="720" w:footer="720" w:gutter="0"/>
          <w:cols w:space="720"/>
          <w:titlePg/>
          <w:docGrid w:linePitch="360"/>
        </w:sectPr>
      </w:pPr>
    </w:p>
    <w:p w14:paraId="7EB9D21D" w14:textId="106571CD" w:rsidR="005252EA" w:rsidRPr="00E44F15" w:rsidRDefault="005252EA" w:rsidP="00E44F15">
      <w:pPr>
        <w:spacing w:after="240"/>
        <w:jc w:val="center"/>
        <w:rPr>
          <w:b/>
        </w:rPr>
      </w:pPr>
      <w:r w:rsidRPr="00E44F15">
        <w:rPr>
          <w:b/>
        </w:rPr>
        <w:t>EXHIBIT A</w:t>
      </w:r>
    </w:p>
    <w:p w14:paraId="5F8794A6" w14:textId="0255B824" w:rsidR="005252EA" w:rsidRPr="00E44F15" w:rsidRDefault="005252EA" w:rsidP="00E44F15">
      <w:pPr>
        <w:spacing w:after="240"/>
        <w:jc w:val="center"/>
        <w:rPr>
          <w:b/>
        </w:rPr>
      </w:pPr>
      <w:r w:rsidRPr="00E44F15">
        <w:rPr>
          <w:b/>
        </w:rPr>
        <w:t>CHARTER</w:t>
      </w:r>
    </w:p>
    <w:p w14:paraId="04C52C36" w14:textId="77777777" w:rsidR="003A3A41" w:rsidRDefault="003A3A41">
      <w:r>
        <w:br w:type="page"/>
      </w:r>
    </w:p>
    <w:p w14:paraId="1AD1984F" w14:textId="1AD3A3F1" w:rsidR="005252EA" w:rsidRPr="00E44F15" w:rsidRDefault="005252EA" w:rsidP="00E44F15">
      <w:pPr>
        <w:spacing w:after="240"/>
        <w:jc w:val="center"/>
        <w:rPr>
          <w:b/>
        </w:rPr>
      </w:pPr>
      <w:r w:rsidRPr="00E44F15">
        <w:rPr>
          <w:b/>
        </w:rPr>
        <w:t>EXHIBIT B</w:t>
      </w:r>
    </w:p>
    <w:p w14:paraId="75CCD2CE" w14:textId="77777777" w:rsidR="005C67A8" w:rsidRPr="00E44F15" w:rsidRDefault="005252EA" w:rsidP="00E44F15">
      <w:pPr>
        <w:spacing w:after="240"/>
        <w:jc w:val="center"/>
        <w:rPr>
          <w:b/>
        </w:rPr>
      </w:pPr>
      <w:r w:rsidRPr="00E44F15">
        <w:rPr>
          <w:b/>
        </w:rPr>
        <w:t>SCHEDULE OF EXCEPTIONS</w:t>
      </w:r>
    </w:p>
    <w:sectPr w:rsidR="005C67A8" w:rsidRPr="00E44F15" w:rsidSect="003B3B36">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1B45B" w14:textId="77777777" w:rsidR="00867EA8" w:rsidRDefault="00867EA8" w:rsidP="00057BD0">
      <w:r>
        <w:separator/>
      </w:r>
    </w:p>
  </w:endnote>
  <w:endnote w:type="continuationSeparator" w:id="0">
    <w:p w14:paraId="1A989F9E" w14:textId="77777777" w:rsidR="00867EA8" w:rsidRDefault="00867EA8" w:rsidP="0005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BEB7" w14:textId="77777777" w:rsidR="00867EA8" w:rsidRDefault="00867EA8" w:rsidP="00867E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6DA1FD" w14:textId="77777777" w:rsidR="00867EA8" w:rsidRDefault="00867E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298E" w14:textId="77777777" w:rsidR="00867EA8" w:rsidRDefault="00867EA8" w:rsidP="00867E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0B5C">
      <w:rPr>
        <w:rStyle w:val="PageNumber"/>
        <w:noProof/>
      </w:rPr>
      <w:t>4</w:t>
    </w:r>
    <w:r>
      <w:rPr>
        <w:rStyle w:val="PageNumber"/>
      </w:rPr>
      <w:fldChar w:fldCharType="end"/>
    </w:r>
  </w:p>
  <w:p w14:paraId="57CE0F1D" w14:textId="77777777" w:rsidR="00C40B5C" w:rsidRDefault="00C40B5C" w:rsidP="00E44F15">
    <w:pPr>
      <w:pStyle w:val="Footer"/>
      <w:rPr>
        <w:sz w:val="16"/>
        <w:szCs w:val="16"/>
      </w:rPr>
    </w:pPr>
  </w:p>
  <w:p w14:paraId="1726C213" w14:textId="77777777" w:rsidR="00C40B5C" w:rsidRDefault="00C40B5C" w:rsidP="00E44F15">
    <w:pPr>
      <w:pStyle w:val="Footer"/>
      <w:rPr>
        <w:sz w:val="16"/>
        <w:szCs w:val="16"/>
      </w:rPr>
    </w:pPr>
  </w:p>
  <w:p w14:paraId="512BE36A" w14:textId="77777777" w:rsidR="00867EA8" w:rsidRPr="00E44F15" w:rsidRDefault="00867EA8" w:rsidP="00E44F15">
    <w:pPr>
      <w:pStyle w:val="Footer"/>
      <w:rPr>
        <w:sz w:val="16"/>
        <w:szCs w:val="16"/>
      </w:rPr>
    </w:pPr>
    <w:r w:rsidRPr="00E44F15">
      <w:rPr>
        <w:sz w:val="16"/>
        <w:szCs w:val="16"/>
      </w:rPr>
      <w:t>TechStars.org - Model Series AA Subscription Agreement - Valcu scripted</w:t>
    </w:r>
  </w:p>
  <w:p w14:paraId="7447136D" w14:textId="1BC03CDE" w:rsidR="00867EA8" w:rsidRDefault="00867EA8" w:rsidP="00E44F15">
    <w:pPr>
      <w:pStyle w:val="Footer"/>
    </w:pPr>
    <w:r w:rsidRPr="00E44F15">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CF379" w14:textId="77777777" w:rsidR="00867EA8" w:rsidRPr="00E44F15" w:rsidRDefault="00867EA8" w:rsidP="00E44F15">
    <w:pPr>
      <w:pStyle w:val="Footer"/>
      <w:rPr>
        <w:sz w:val="16"/>
        <w:szCs w:val="16"/>
      </w:rPr>
    </w:pPr>
    <w:r w:rsidRPr="00E44F15">
      <w:rPr>
        <w:sz w:val="16"/>
        <w:szCs w:val="16"/>
      </w:rPr>
      <w:t>TechStars.org - Model Series AA Subscription Agreement - Valcu scripted</w:t>
    </w:r>
  </w:p>
  <w:p w14:paraId="560E0C0E" w14:textId="14D52CFF" w:rsidR="00867EA8" w:rsidRDefault="00867EA8" w:rsidP="00E44F15">
    <w:pPr>
      <w:pStyle w:val="Footer"/>
    </w:pPr>
    <w:r w:rsidRPr="00E44F15">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B722A" w14:textId="77777777" w:rsidR="00F768E1" w:rsidRPr="00F768E1" w:rsidRDefault="00F768E1" w:rsidP="00F768E1">
    <w:pPr>
      <w:pStyle w:val="Footer"/>
      <w:jc w:val="center"/>
      <w:rPr>
        <w:b/>
        <w:sz w:val="20"/>
        <w:szCs w:val="20"/>
      </w:rPr>
    </w:pPr>
    <w:r w:rsidRPr="00F768E1">
      <w:rPr>
        <w:b/>
        <w:sz w:val="20"/>
        <w:szCs w:val="20"/>
      </w:rPr>
      <w:t>SIGNATURE PAGE TO</w:t>
    </w:r>
  </w:p>
  <w:p w14:paraId="4FA26FDE" w14:textId="2C577B78" w:rsidR="00F768E1" w:rsidRDefault="00F768E1" w:rsidP="00F768E1">
    <w:pPr>
      <w:pStyle w:val="Footer"/>
      <w:jc w:val="center"/>
      <w:rPr>
        <w:sz w:val="16"/>
        <w:szCs w:val="16"/>
      </w:rPr>
    </w:pPr>
    <w:r w:rsidRPr="00F768E1">
      <w:rPr>
        <w:b/>
        <w:sz w:val="20"/>
        <w:szCs w:val="20"/>
      </w:rPr>
      <w:t>SERIES AA PREFERRED STOCK SUBSCRIPTION AGREEMENT</w:t>
    </w:r>
  </w:p>
  <w:p w14:paraId="2A428E17" w14:textId="77777777" w:rsidR="00867EA8" w:rsidRPr="00E44F15" w:rsidRDefault="00867EA8" w:rsidP="00E44F15">
    <w:pPr>
      <w:pStyle w:val="Footer"/>
      <w:rPr>
        <w:sz w:val="16"/>
        <w:szCs w:val="16"/>
      </w:rPr>
    </w:pPr>
    <w:r w:rsidRPr="00E44F15">
      <w:rPr>
        <w:sz w:val="16"/>
        <w:szCs w:val="16"/>
      </w:rPr>
      <w:t>TechStars.org - Model Series AA Subscription Agreement - Valcu scripted</w:t>
    </w:r>
  </w:p>
  <w:p w14:paraId="418857F1" w14:textId="5651E138" w:rsidR="00867EA8" w:rsidRDefault="00867EA8" w:rsidP="00E44F15">
    <w:pPr>
      <w:pStyle w:val="Footer"/>
    </w:pPr>
    <w:r w:rsidRPr="00E44F15">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6C66F" w14:textId="77777777" w:rsidR="00F768E1" w:rsidRPr="00F768E1" w:rsidRDefault="00F768E1" w:rsidP="00F768E1">
    <w:pPr>
      <w:pStyle w:val="Footer"/>
      <w:jc w:val="center"/>
      <w:rPr>
        <w:b/>
        <w:sz w:val="20"/>
        <w:szCs w:val="20"/>
      </w:rPr>
    </w:pPr>
    <w:r w:rsidRPr="00F768E1">
      <w:rPr>
        <w:b/>
        <w:sz w:val="20"/>
        <w:szCs w:val="20"/>
      </w:rPr>
      <w:t>SIGNATURE PAGE TO</w:t>
    </w:r>
  </w:p>
  <w:p w14:paraId="592F79F6" w14:textId="3AD751AA" w:rsidR="00F768E1" w:rsidRDefault="00F768E1" w:rsidP="00F768E1">
    <w:pPr>
      <w:pStyle w:val="Footer"/>
      <w:jc w:val="center"/>
      <w:rPr>
        <w:sz w:val="16"/>
        <w:szCs w:val="16"/>
      </w:rPr>
    </w:pPr>
    <w:r w:rsidRPr="00F768E1">
      <w:rPr>
        <w:b/>
        <w:sz w:val="20"/>
        <w:szCs w:val="20"/>
      </w:rPr>
      <w:t>SERIES AA PREFERRED STOCK SUBSCRIPTION AGREEMENT</w:t>
    </w:r>
  </w:p>
  <w:p w14:paraId="1E3A0B85" w14:textId="77777777" w:rsidR="00867EA8" w:rsidRPr="00E44F15" w:rsidRDefault="00867EA8" w:rsidP="00E44F15">
    <w:pPr>
      <w:pStyle w:val="Footer"/>
      <w:rPr>
        <w:sz w:val="16"/>
        <w:szCs w:val="16"/>
      </w:rPr>
    </w:pPr>
    <w:r w:rsidRPr="00E44F15">
      <w:rPr>
        <w:sz w:val="16"/>
        <w:szCs w:val="16"/>
      </w:rPr>
      <w:t>TechStars.org - Model Series AA Subscription Agreement - Valcu scripted</w:t>
    </w:r>
  </w:p>
  <w:p w14:paraId="7426B895" w14:textId="33D8AF8E" w:rsidR="00867EA8" w:rsidRDefault="00867EA8" w:rsidP="00E44F15">
    <w:pPr>
      <w:pStyle w:val="Footer"/>
    </w:pPr>
    <w:r w:rsidRPr="00E44F15">
      <w:rPr>
        <w:sz w:val="16"/>
        <w:szCs w:val="16"/>
      </w:rPr>
      <w:t>v_field_doc_template_id | v_field_file_store_id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73DF6" w14:textId="77777777" w:rsidR="00867EA8" w:rsidRPr="00E44F15" w:rsidRDefault="00867EA8" w:rsidP="00E44F15">
    <w:pPr>
      <w:pStyle w:val="Footer"/>
      <w:rPr>
        <w:sz w:val="16"/>
        <w:szCs w:val="16"/>
      </w:rPr>
    </w:pPr>
    <w:r w:rsidRPr="00E44F15">
      <w:rPr>
        <w:sz w:val="16"/>
        <w:szCs w:val="16"/>
      </w:rPr>
      <w:t>TechStars.org - Model Series AA Subscription Agreement - Valcu scripted</w:t>
    </w:r>
  </w:p>
  <w:p w14:paraId="08B1169C" w14:textId="53E0F5DC" w:rsidR="00867EA8" w:rsidRDefault="00867EA8" w:rsidP="00E44F15">
    <w:pPr>
      <w:pStyle w:val="Footer"/>
    </w:pPr>
    <w:r w:rsidRPr="00E44F15">
      <w:rPr>
        <w:sz w:val="16"/>
        <w:szCs w:val="16"/>
      </w:rPr>
      <w:t>v_field_doc_template_id | v_field_file_store_id</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BBE95" w14:textId="77777777" w:rsidR="00867EA8" w:rsidRPr="00E44F15" w:rsidRDefault="00867EA8" w:rsidP="00E44F15">
    <w:pPr>
      <w:pStyle w:val="Footer"/>
      <w:rPr>
        <w:sz w:val="16"/>
        <w:szCs w:val="16"/>
      </w:rPr>
    </w:pPr>
    <w:r w:rsidRPr="00E44F15">
      <w:rPr>
        <w:sz w:val="16"/>
        <w:szCs w:val="16"/>
      </w:rPr>
      <w:t>TechStars.org - Model Series AA Subscription Agreement - Valcu scripted</w:t>
    </w:r>
  </w:p>
  <w:p w14:paraId="00F6A004" w14:textId="46FB1ADE" w:rsidR="00867EA8" w:rsidRDefault="00867EA8" w:rsidP="00E44F15">
    <w:pPr>
      <w:pStyle w:val="Footer"/>
    </w:pPr>
    <w:r w:rsidRPr="00E44F15">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56536" w14:textId="77777777" w:rsidR="00867EA8" w:rsidRDefault="00867EA8" w:rsidP="00057BD0">
      <w:r>
        <w:separator/>
      </w:r>
    </w:p>
  </w:footnote>
  <w:footnote w:type="continuationSeparator" w:id="0">
    <w:p w14:paraId="0B0FB92E" w14:textId="77777777" w:rsidR="00867EA8" w:rsidRDefault="00867EA8" w:rsidP="00057B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abstractNum w:abstractNumId="1">
    <w:nsid w:val="05111256"/>
    <w:multiLevelType w:val="multilevel"/>
    <w:tmpl w:val="6EAAED62"/>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1080" w:firstLine="1080"/>
      </w:pPr>
      <w:rPr>
        <w:rFonts w:hint="default"/>
        <w:b/>
      </w:rPr>
    </w:lvl>
    <w:lvl w:ilvl="3">
      <w:start w:val="1"/>
      <w:numFmt w:val="decimal"/>
      <w:lvlText w:val="(%4)"/>
      <w:lvlJc w:val="left"/>
      <w:pPr>
        <w:ind w:left="1440" w:firstLine="144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B07745"/>
    <w:multiLevelType w:val="multilevel"/>
    <w:tmpl w:val="0936C5D6"/>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7C46A00"/>
    <w:multiLevelType w:val="multilevel"/>
    <w:tmpl w:val="6EAAED62"/>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1080" w:firstLine="1080"/>
      </w:pPr>
      <w:rPr>
        <w:rFonts w:hint="default"/>
        <w:b/>
      </w:rPr>
    </w:lvl>
    <w:lvl w:ilvl="3">
      <w:start w:val="1"/>
      <w:numFmt w:val="decimal"/>
      <w:lvlText w:val="(%4)"/>
      <w:lvlJc w:val="left"/>
      <w:pPr>
        <w:ind w:left="1440" w:firstLine="144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7425456"/>
    <w:multiLevelType w:val="multilevel"/>
    <w:tmpl w:val="E3CA5552"/>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B876F9C"/>
    <w:multiLevelType w:val="hybridMultilevel"/>
    <w:tmpl w:val="9890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97776"/>
    <w:multiLevelType w:val="multilevel"/>
    <w:tmpl w:val="F3EC3148"/>
    <w:lvl w:ilvl="0">
      <w:start w:val="1"/>
      <w:numFmt w:val="decimal"/>
      <w:lvlText w:val="%1."/>
      <w:lvlJc w:val="left"/>
      <w:pPr>
        <w:tabs>
          <w:tab w:val="num" w:pos="720"/>
        </w:tabs>
        <w:ind w:left="720" w:firstLine="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720" w:firstLine="1440"/>
      </w:pPr>
      <w:rPr>
        <w:rFonts w:hint="default"/>
        <w:b/>
      </w:rPr>
    </w:lvl>
    <w:lvl w:ilvl="3">
      <w:start w:val="1"/>
      <w:numFmt w:val="decimal"/>
      <w:lvlText w:val="(%4)"/>
      <w:lvlJc w:val="left"/>
      <w:pPr>
        <w:ind w:left="720" w:firstLine="21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DE3395A"/>
    <w:multiLevelType w:val="multilevel"/>
    <w:tmpl w:val="3AD44CEA"/>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1080" w:firstLine="1080"/>
      </w:pPr>
      <w:rPr>
        <w:rFonts w:hint="default"/>
        <w:b/>
      </w:rPr>
    </w:lvl>
    <w:lvl w:ilvl="3">
      <w:start w:val="1"/>
      <w:numFmt w:val="decimal"/>
      <w:lvlText w:val="(%4)"/>
      <w:lvlJc w:val="left"/>
      <w:pPr>
        <w:ind w:left="720" w:firstLine="21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9F7340E"/>
    <w:multiLevelType w:val="multilevel"/>
    <w:tmpl w:val="6526F3D4"/>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1080" w:firstLine="1080"/>
      </w:pPr>
      <w:rPr>
        <w:rFonts w:hint="default"/>
        <w:b/>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B77251A"/>
    <w:multiLevelType w:val="multilevel"/>
    <w:tmpl w:val="0980D0EC"/>
    <w:lvl w:ilvl="0">
      <w:start w:val="1"/>
      <w:numFmt w:val="decimal"/>
      <w:lvlText w:val="%1."/>
      <w:lvlJc w:val="left"/>
      <w:pPr>
        <w:tabs>
          <w:tab w:val="num" w:pos="720"/>
        </w:tabs>
        <w:ind w:left="360" w:firstLine="360"/>
      </w:pPr>
      <w:rPr>
        <w:rFonts w:hint="default"/>
      </w:rPr>
    </w:lvl>
    <w:lvl w:ilvl="1">
      <w:start w:val="1"/>
      <w:numFmt w:val="lowerLetter"/>
      <w:lvlText w:val="(%2)"/>
      <w:lvlJc w:val="left"/>
      <w:pPr>
        <w:tabs>
          <w:tab w:val="num" w:pos="1440"/>
        </w:tabs>
        <w:ind w:left="720" w:firstLine="72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4CE42CD"/>
    <w:multiLevelType w:val="multilevel"/>
    <w:tmpl w:val="D7789DDC"/>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720" w:firstLine="1440"/>
      </w:pPr>
      <w:rPr>
        <w:rFonts w:hint="default"/>
        <w:b/>
      </w:rPr>
    </w:lvl>
    <w:lvl w:ilvl="3">
      <w:start w:val="1"/>
      <w:numFmt w:val="decimal"/>
      <w:lvlText w:val="(%4)"/>
      <w:lvlJc w:val="left"/>
      <w:pPr>
        <w:ind w:left="720" w:firstLine="21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F941E51"/>
    <w:multiLevelType w:val="multilevel"/>
    <w:tmpl w:val="D7789DDC"/>
    <w:lvl w:ilvl="0">
      <w:start w:val="1"/>
      <w:numFmt w:val="decimal"/>
      <w:lvlText w:val="%1."/>
      <w:lvlJc w:val="left"/>
      <w:pPr>
        <w:tabs>
          <w:tab w:val="num" w:pos="720"/>
        </w:tabs>
        <w:ind w:left="360" w:firstLine="360"/>
      </w:pPr>
      <w:rPr>
        <w:rFonts w:hint="default"/>
        <w:b/>
      </w:rPr>
    </w:lvl>
    <w:lvl w:ilvl="1">
      <w:start w:val="1"/>
      <w:numFmt w:val="lowerLetter"/>
      <w:lvlText w:val="(%2)"/>
      <w:lvlJc w:val="left"/>
      <w:pPr>
        <w:tabs>
          <w:tab w:val="num" w:pos="1440"/>
        </w:tabs>
        <w:ind w:left="720" w:firstLine="720"/>
      </w:pPr>
      <w:rPr>
        <w:rFonts w:hint="default"/>
        <w:b/>
      </w:rPr>
    </w:lvl>
    <w:lvl w:ilvl="2">
      <w:start w:val="1"/>
      <w:numFmt w:val="lowerRoman"/>
      <w:lvlText w:val="(%3)"/>
      <w:lvlJc w:val="left"/>
      <w:pPr>
        <w:tabs>
          <w:tab w:val="num" w:pos="2160"/>
        </w:tabs>
        <w:ind w:left="720" w:firstLine="1440"/>
      </w:pPr>
      <w:rPr>
        <w:rFonts w:hint="default"/>
        <w:b/>
      </w:rPr>
    </w:lvl>
    <w:lvl w:ilvl="3">
      <w:start w:val="1"/>
      <w:numFmt w:val="decimal"/>
      <w:lvlText w:val="(%4)"/>
      <w:lvlJc w:val="left"/>
      <w:pPr>
        <w:ind w:left="720" w:firstLine="21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6"/>
  </w:num>
  <w:num w:numId="5">
    <w:abstractNumId w:val="5"/>
  </w:num>
  <w:num w:numId="6">
    <w:abstractNumId w:val="9"/>
  </w:num>
  <w:num w:numId="7">
    <w:abstractNumId w:val="2"/>
  </w:num>
  <w:num w:numId="8">
    <w:abstractNumId w:val="4"/>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3C"/>
    <w:rsid w:val="00057BD0"/>
    <w:rsid w:val="000B0B3C"/>
    <w:rsid w:val="000E1FE3"/>
    <w:rsid w:val="00271340"/>
    <w:rsid w:val="003A3A41"/>
    <w:rsid w:val="003B3B36"/>
    <w:rsid w:val="005252EA"/>
    <w:rsid w:val="00546613"/>
    <w:rsid w:val="005B179D"/>
    <w:rsid w:val="005C67A8"/>
    <w:rsid w:val="005D73AE"/>
    <w:rsid w:val="005F5D01"/>
    <w:rsid w:val="006A60DA"/>
    <w:rsid w:val="00727DE5"/>
    <w:rsid w:val="007628BB"/>
    <w:rsid w:val="0084295F"/>
    <w:rsid w:val="00867EA8"/>
    <w:rsid w:val="00902B3C"/>
    <w:rsid w:val="0091068D"/>
    <w:rsid w:val="009B4516"/>
    <w:rsid w:val="00BC2001"/>
    <w:rsid w:val="00C40B5C"/>
    <w:rsid w:val="00C703F6"/>
    <w:rsid w:val="00E44F15"/>
    <w:rsid w:val="00E846B1"/>
    <w:rsid w:val="00F7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70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84295F"/>
    <w:pPr>
      <w:ind w:left="720"/>
      <w:contextualSpacing/>
    </w:pPr>
  </w:style>
  <w:style w:type="paragraph" w:styleId="Header">
    <w:name w:val="header"/>
    <w:basedOn w:val="Normal"/>
    <w:link w:val="HeaderChar"/>
    <w:uiPriority w:val="99"/>
    <w:unhideWhenUsed/>
    <w:rsid w:val="00057BD0"/>
    <w:pPr>
      <w:tabs>
        <w:tab w:val="center" w:pos="4320"/>
        <w:tab w:val="right" w:pos="8640"/>
      </w:tabs>
    </w:pPr>
  </w:style>
  <w:style w:type="character" w:customStyle="1" w:styleId="HeaderChar">
    <w:name w:val="Header Char"/>
    <w:basedOn w:val="DefaultParagraphFont"/>
    <w:link w:val="Header"/>
    <w:uiPriority w:val="99"/>
    <w:rsid w:val="00057BD0"/>
  </w:style>
  <w:style w:type="paragraph" w:styleId="Footer">
    <w:name w:val="footer"/>
    <w:basedOn w:val="Normal"/>
    <w:link w:val="FooterChar"/>
    <w:uiPriority w:val="99"/>
    <w:unhideWhenUsed/>
    <w:rsid w:val="00057BD0"/>
    <w:pPr>
      <w:tabs>
        <w:tab w:val="center" w:pos="4320"/>
        <w:tab w:val="right" w:pos="8640"/>
      </w:tabs>
    </w:pPr>
  </w:style>
  <w:style w:type="character" w:customStyle="1" w:styleId="FooterChar">
    <w:name w:val="Footer Char"/>
    <w:basedOn w:val="DefaultParagraphFont"/>
    <w:link w:val="Footer"/>
    <w:uiPriority w:val="99"/>
    <w:rsid w:val="00057BD0"/>
  </w:style>
  <w:style w:type="character" w:styleId="PageNumber">
    <w:name w:val="page number"/>
    <w:basedOn w:val="DefaultParagraphFont"/>
    <w:uiPriority w:val="99"/>
    <w:semiHidden/>
    <w:unhideWhenUsed/>
    <w:rsid w:val="00E44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84295F"/>
    <w:pPr>
      <w:ind w:left="720"/>
      <w:contextualSpacing/>
    </w:pPr>
  </w:style>
  <w:style w:type="paragraph" w:styleId="Header">
    <w:name w:val="header"/>
    <w:basedOn w:val="Normal"/>
    <w:link w:val="HeaderChar"/>
    <w:uiPriority w:val="99"/>
    <w:unhideWhenUsed/>
    <w:rsid w:val="00057BD0"/>
    <w:pPr>
      <w:tabs>
        <w:tab w:val="center" w:pos="4320"/>
        <w:tab w:val="right" w:pos="8640"/>
      </w:tabs>
    </w:pPr>
  </w:style>
  <w:style w:type="character" w:customStyle="1" w:styleId="HeaderChar">
    <w:name w:val="Header Char"/>
    <w:basedOn w:val="DefaultParagraphFont"/>
    <w:link w:val="Header"/>
    <w:uiPriority w:val="99"/>
    <w:rsid w:val="00057BD0"/>
  </w:style>
  <w:style w:type="paragraph" w:styleId="Footer">
    <w:name w:val="footer"/>
    <w:basedOn w:val="Normal"/>
    <w:link w:val="FooterChar"/>
    <w:uiPriority w:val="99"/>
    <w:unhideWhenUsed/>
    <w:rsid w:val="00057BD0"/>
    <w:pPr>
      <w:tabs>
        <w:tab w:val="center" w:pos="4320"/>
        <w:tab w:val="right" w:pos="8640"/>
      </w:tabs>
    </w:pPr>
  </w:style>
  <w:style w:type="character" w:customStyle="1" w:styleId="FooterChar">
    <w:name w:val="Footer Char"/>
    <w:basedOn w:val="DefaultParagraphFont"/>
    <w:link w:val="Footer"/>
    <w:uiPriority w:val="99"/>
    <w:rsid w:val="00057BD0"/>
  </w:style>
  <w:style w:type="character" w:styleId="PageNumber">
    <w:name w:val="page number"/>
    <w:basedOn w:val="DefaultParagraphFont"/>
    <w:uiPriority w:val="99"/>
    <w:semiHidden/>
    <w:unhideWhenUsed/>
    <w:rsid w:val="00E4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5825</Words>
  <Characters>33207</Characters>
  <Application>Microsoft Macintosh Word</Application>
  <DocSecurity>0</DocSecurity>
  <Lines>276</Lines>
  <Paragraphs>77</Paragraphs>
  <ScaleCrop>false</ScaleCrop>
  <Company>Valcu Inc.</Company>
  <LinksUpToDate>false</LinksUpToDate>
  <CharactersWithSpaces>38955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20</cp:revision>
  <dcterms:created xsi:type="dcterms:W3CDTF">2016-03-23T14:30:00Z</dcterms:created>
  <dcterms:modified xsi:type="dcterms:W3CDTF">2016-03-23T15:06:00Z</dcterms:modified>
</cp:coreProperties>
</file>