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C6A4C" w14:textId="77777777" w:rsidR="00256C55" w:rsidRDefault="007536DB" w:rsidP="00256C55">
      <w:pPr>
        <w:pStyle w:val="Title"/>
        <w:widowControl w:val="0"/>
        <w:spacing w:after="0"/>
        <w:rPr>
          <w:sz w:val="22"/>
          <w:szCs w:val="22"/>
        </w:rPr>
      </w:pPr>
      <w:r w:rsidRPr="007A2862">
        <w:rPr>
          <w:sz w:val="22"/>
          <w:szCs w:val="22"/>
        </w:rPr>
        <w:t xml:space="preserve">TERMS FOR PRIVATE PLACEMENT OF </w:t>
      </w:r>
      <w:r w:rsidR="00F639CE">
        <w:rPr>
          <w:sz w:val="22"/>
          <w:szCs w:val="22"/>
        </w:rPr>
        <w:t xml:space="preserve">SERIES </w:t>
      </w:r>
      <w:r w:rsidRPr="007A2862">
        <w:rPr>
          <w:sz w:val="22"/>
          <w:szCs w:val="22"/>
        </w:rPr>
        <w:t>SEED PREFERRED STOCK OF</w:t>
      </w:r>
    </w:p>
    <w:p w14:paraId="6806CA9C" w14:textId="3D3EF141" w:rsidR="007536DB" w:rsidRPr="007A2862" w:rsidRDefault="009F62FF" w:rsidP="00880A65">
      <w:pPr>
        <w:pStyle w:val="Title"/>
        <w:widowControl w:val="0"/>
        <w:spacing w:after="80"/>
        <w:rPr>
          <w:sz w:val="22"/>
          <w:szCs w:val="22"/>
        </w:rPr>
      </w:pPr>
      <w:r>
        <w:rPr>
          <w:sz w:val="22"/>
          <w:szCs w:val="22"/>
        </w:rPr>
        <w:t>V_FIELD_COM</w:t>
      </w:r>
      <w:r w:rsidR="00994881">
        <w:rPr>
          <w:sz w:val="22"/>
          <w:szCs w:val="22"/>
        </w:rPr>
        <w:t>P</w:t>
      </w:r>
      <w:r>
        <w:rPr>
          <w:sz w:val="22"/>
          <w:szCs w:val="22"/>
        </w:rPr>
        <w:t>ANY_NAME_UPCASE</w:t>
      </w:r>
    </w:p>
    <w:p w14:paraId="6797BD2D" w14:textId="77777777" w:rsidR="007536DB" w:rsidRPr="007A2862" w:rsidRDefault="007060CF" w:rsidP="00D16A1A">
      <w:pPr>
        <w:pStyle w:val="Title"/>
        <w:widowControl w:val="0"/>
        <w:spacing w:after="120"/>
        <w:rPr>
          <w:sz w:val="22"/>
          <w:szCs w:val="22"/>
        </w:rPr>
      </w:pPr>
      <w:r>
        <w:rPr>
          <w:sz w:val="22"/>
          <w:szCs w:val="22"/>
        </w:rPr>
        <w:t>v_field_date</w:t>
      </w:r>
    </w:p>
    <w:p w14:paraId="434166E0" w14:textId="5E69CCAF" w:rsidR="007536DB" w:rsidRPr="007A2862" w:rsidRDefault="007536DB" w:rsidP="00D16A1A">
      <w:pPr>
        <w:pStyle w:val="Bod"/>
        <w:widowControl w:val="0"/>
        <w:spacing w:after="120"/>
        <w:ind w:firstLine="0"/>
        <w:rPr>
          <w:sz w:val="22"/>
          <w:szCs w:val="22"/>
        </w:rPr>
      </w:pPr>
      <w:r w:rsidRPr="007A2862">
        <w:rPr>
          <w:sz w:val="22"/>
          <w:szCs w:val="22"/>
        </w:rPr>
        <w:t xml:space="preserve">The following is a summary of the principal terms with respect to the proposed </w:t>
      </w:r>
      <w:r w:rsidR="009544F6">
        <w:rPr>
          <w:sz w:val="22"/>
          <w:szCs w:val="22"/>
        </w:rPr>
        <w:t>Series Seed Preferred</w:t>
      </w:r>
      <w:r w:rsidRPr="007A2862">
        <w:rPr>
          <w:sz w:val="22"/>
          <w:szCs w:val="22"/>
        </w:rPr>
        <w:t xml:space="preserve"> Stock financing of </w:t>
      </w:r>
      <w:r w:rsidR="007060CF">
        <w:rPr>
          <w:sz w:val="22"/>
          <w:szCs w:val="22"/>
        </w:rPr>
        <w:t>v_field_company_name</w:t>
      </w:r>
      <w:r w:rsidRPr="007A2862">
        <w:rPr>
          <w:sz w:val="22"/>
          <w:szCs w:val="22"/>
        </w:rPr>
        <w:t xml:space="preserve">, a </w:t>
      </w:r>
      <w:r w:rsidR="007060CF">
        <w:rPr>
          <w:sz w:val="22"/>
          <w:szCs w:val="22"/>
        </w:rPr>
        <w:t>v_field_</w:t>
      </w:r>
      <w:r w:rsidR="006A064A">
        <w:rPr>
          <w:sz w:val="22"/>
          <w:szCs w:val="22"/>
        </w:rPr>
        <w:t>incorporation</w:t>
      </w:r>
      <w:r w:rsidR="007060CF">
        <w:rPr>
          <w:sz w:val="22"/>
          <w:szCs w:val="22"/>
        </w:rPr>
        <w:t>_state</w:t>
      </w:r>
      <w:r w:rsidRPr="007A2862">
        <w:rPr>
          <w:sz w:val="22"/>
          <w:szCs w:val="22"/>
        </w:rPr>
        <w:t xml:space="preserve"> </w:t>
      </w:r>
      <w:r w:rsidR="000E3646">
        <w:rPr>
          <w:sz w:val="22"/>
          <w:szCs w:val="22"/>
        </w:rPr>
        <w:t>v_field_entity_type</w:t>
      </w:r>
      <w:r w:rsidRPr="007A2862">
        <w:rPr>
          <w:sz w:val="22"/>
          <w:szCs w:val="22"/>
        </w:rPr>
        <w:t xml:space="preserve"> (the “</w:t>
      </w:r>
      <w:r w:rsidRPr="007A2862">
        <w:rPr>
          <w:b/>
          <w:i/>
          <w:sz w:val="22"/>
          <w:szCs w:val="22"/>
        </w:rPr>
        <w:t>Company</w:t>
      </w:r>
      <w:r w:rsidRPr="007A2862">
        <w:rPr>
          <w:sz w:val="22"/>
          <w:szCs w:val="22"/>
        </w:rPr>
        <w:t>”).</w:t>
      </w:r>
      <w:r w:rsidR="00D52E1C">
        <w:rPr>
          <w:sz w:val="22"/>
          <w:szCs w:val="22"/>
        </w:rPr>
        <w:t xml:space="preserve"> </w:t>
      </w:r>
      <w:r w:rsidRPr="007A2862">
        <w:rPr>
          <w:sz w:val="22"/>
          <w:szCs w:val="22"/>
        </w:rPr>
        <w:t xml:space="preserve"> </w:t>
      </w:r>
      <w:r w:rsidR="00FC6DAE">
        <w:rPr>
          <w:sz w:val="22"/>
          <w:szCs w:val="22"/>
        </w:rPr>
        <w:t xml:space="preserve">Except for the section entitled “Binding Terms,” </w:t>
      </w:r>
      <w:r w:rsidR="00275173">
        <w:rPr>
          <w:sz w:val="22"/>
          <w:szCs w:val="22"/>
        </w:rPr>
        <w:t>this</w:t>
      </w:r>
      <w:r w:rsidR="00275173" w:rsidRPr="007A2862">
        <w:rPr>
          <w:sz w:val="22"/>
          <w:szCs w:val="22"/>
        </w:rPr>
        <w:t xml:space="preserve"> </w:t>
      </w:r>
      <w:r w:rsidRPr="007A2862">
        <w:rPr>
          <w:sz w:val="22"/>
          <w:szCs w:val="22"/>
        </w:rPr>
        <w:t xml:space="preserve">summary of terms does not constitute a legally binding obligation.  </w:t>
      </w:r>
      <w:r w:rsidR="00275173">
        <w:rPr>
          <w:sz w:val="22"/>
          <w:szCs w:val="22"/>
        </w:rPr>
        <w:t xml:space="preserve">The parties intend to enter into a legally binding obligation only </w:t>
      </w:r>
      <w:r w:rsidRPr="007A2862">
        <w:rPr>
          <w:sz w:val="22"/>
          <w:szCs w:val="22"/>
        </w:rPr>
        <w:t>pursuant to definitive agreements to be negotiated and executed by the parties.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2088"/>
        <w:gridCol w:w="7560"/>
      </w:tblGrid>
      <w:tr w:rsidR="007536DB" w:rsidRPr="007A2862" w14:paraId="16E29788" w14:textId="77777777" w:rsidTr="003C45C3">
        <w:trPr>
          <w:cantSplit/>
        </w:trPr>
        <w:tc>
          <w:tcPr>
            <w:tcW w:w="2088" w:type="dxa"/>
          </w:tcPr>
          <w:p w14:paraId="3F147F0F" w14:textId="77777777" w:rsidR="007536DB" w:rsidRPr="007A2862" w:rsidRDefault="007536DB" w:rsidP="00D16A1A">
            <w:pPr>
              <w:pStyle w:val="Head"/>
              <w:keepNext w:val="0"/>
              <w:widowControl w:val="0"/>
              <w:spacing w:after="120"/>
              <w:rPr>
                <w:sz w:val="22"/>
                <w:szCs w:val="22"/>
              </w:rPr>
            </w:pPr>
            <w:r w:rsidRPr="007A2862">
              <w:rPr>
                <w:sz w:val="22"/>
                <w:szCs w:val="22"/>
                <w:u w:val="single"/>
              </w:rPr>
              <w:t>Offering Terms</w:t>
            </w:r>
          </w:p>
        </w:tc>
        <w:tc>
          <w:tcPr>
            <w:tcW w:w="7560" w:type="dxa"/>
          </w:tcPr>
          <w:p w14:paraId="105B3A91" w14:textId="77777777" w:rsidR="007536DB" w:rsidRPr="007A2862" w:rsidRDefault="007536DB" w:rsidP="00D16A1A">
            <w:pPr>
              <w:widowControl w:val="0"/>
              <w:spacing w:after="120"/>
              <w:rPr>
                <w:sz w:val="22"/>
                <w:szCs w:val="22"/>
              </w:rPr>
            </w:pPr>
          </w:p>
        </w:tc>
      </w:tr>
      <w:tr w:rsidR="007536DB" w:rsidRPr="007A2862" w14:paraId="35DEF3A0" w14:textId="77777777" w:rsidTr="003C45C3">
        <w:trPr>
          <w:cantSplit/>
        </w:trPr>
        <w:tc>
          <w:tcPr>
            <w:tcW w:w="2088" w:type="dxa"/>
          </w:tcPr>
          <w:p w14:paraId="0DDC017E" w14:textId="77777777" w:rsidR="007536DB" w:rsidRPr="007A2862" w:rsidRDefault="007536DB" w:rsidP="003C45C3">
            <w:pPr>
              <w:widowControl w:val="0"/>
              <w:spacing w:after="160"/>
              <w:rPr>
                <w:sz w:val="22"/>
                <w:szCs w:val="22"/>
              </w:rPr>
            </w:pPr>
            <w:r w:rsidRPr="007A2862">
              <w:rPr>
                <w:sz w:val="22"/>
                <w:szCs w:val="22"/>
              </w:rPr>
              <w:t>Securit</w:t>
            </w:r>
            <w:r w:rsidR="003C45C3">
              <w:rPr>
                <w:sz w:val="22"/>
                <w:szCs w:val="22"/>
              </w:rPr>
              <w:t>ies to Issue</w:t>
            </w:r>
            <w:r w:rsidRPr="007A2862">
              <w:rPr>
                <w:sz w:val="22"/>
                <w:szCs w:val="22"/>
              </w:rPr>
              <w:t>:</w:t>
            </w:r>
          </w:p>
        </w:tc>
        <w:tc>
          <w:tcPr>
            <w:tcW w:w="7560" w:type="dxa"/>
          </w:tcPr>
          <w:p w14:paraId="4C320462" w14:textId="77777777" w:rsidR="007536DB" w:rsidRPr="007A2862" w:rsidRDefault="007536DB" w:rsidP="002F7414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7A2862">
              <w:rPr>
                <w:sz w:val="22"/>
                <w:szCs w:val="22"/>
              </w:rPr>
              <w:t xml:space="preserve">Shares of </w:t>
            </w:r>
            <w:r w:rsidR="009544F6">
              <w:rPr>
                <w:sz w:val="22"/>
                <w:szCs w:val="22"/>
              </w:rPr>
              <w:t xml:space="preserve">Series </w:t>
            </w:r>
            <w:r w:rsidRPr="007A2862">
              <w:rPr>
                <w:sz w:val="22"/>
                <w:szCs w:val="22"/>
              </w:rPr>
              <w:t>Seed Preferred Stock of the Company (the “</w:t>
            </w:r>
            <w:r w:rsidRPr="007A2862">
              <w:rPr>
                <w:b/>
                <w:i/>
                <w:sz w:val="22"/>
                <w:szCs w:val="22"/>
              </w:rPr>
              <w:t>Series Seed</w:t>
            </w:r>
            <w:r w:rsidRPr="007A2862">
              <w:rPr>
                <w:sz w:val="22"/>
                <w:szCs w:val="22"/>
              </w:rPr>
              <w:t>”).</w:t>
            </w:r>
          </w:p>
        </w:tc>
      </w:tr>
      <w:tr w:rsidR="007536DB" w:rsidRPr="007A2862" w14:paraId="199E6C3F" w14:textId="77777777" w:rsidTr="003C45C3">
        <w:trPr>
          <w:cantSplit/>
        </w:trPr>
        <w:tc>
          <w:tcPr>
            <w:tcW w:w="2088" w:type="dxa"/>
          </w:tcPr>
          <w:p w14:paraId="45351AAA" w14:textId="77777777" w:rsidR="007536DB" w:rsidRPr="007A2862" w:rsidRDefault="007536DB" w:rsidP="005925E1">
            <w:pPr>
              <w:widowControl w:val="0"/>
              <w:spacing w:after="160"/>
              <w:rPr>
                <w:sz w:val="22"/>
                <w:szCs w:val="22"/>
              </w:rPr>
            </w:pPr>
            <w:r w:rsidRPr="007A2862">
              <w:rPr>
                <w:sz w:val="22"/>
                <w:szCs w:val="22"/>
              </w:rPr>
              <w:t>Aggregate Proceeds:</w:t>
            </w:r>
          </w:p>
        </w:tc>
        <w:tc>
          <w:tcPr>
            <w:tcW w:w="7560" w:type="dxa"/>
          </w:tcPr>
          <w:p w14:paraId="214CC7EC" w14:textId="77777777" w:rsidR="007536DB" w:rsidRPr="007A2862" w:rsidRDefault="007060CF" w:rsidP="00D16A1A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v_field_aggregate_dollar_proceeds</w:t>
            </w:r>
            <w:r w:rsidR="007536DB" w:rsidRPr="007A2862">
              <w:rPr>
                <w:sz w:val="22"/>
                <w:szCs w:val="22"/>
              </w:rPr>
              <w:t xml:space="preserve"> in aggregate.</w:t>
            </w:r>
          </w:p>
        </w:tc>
      </w:tr>
      <w:tr w:rsidR="007536DB" w:rsidRPr="007A2862" w14:paraId="589C441F" w14:textId="77777777" w:rsidTr="003C45C3">
        <w:trPr>
          <w:cantSplit/>
        </w:trPr>
        <w:tc>
          <w:tcPr>
            <w:tcW w:w="2088" w:type="dxa"/>
          </w:tcPr>
          <w:p w14:paraId="6DAB799C" w14:textId="77777777" w:rsidR="007536DB" w:rsidRPr="007A2862" w:rsidRDefault="003075AE" w:rsidP="005925E1">
            <w:pPr>
              <w:widowControl w:val="0"/>
              <w:spacing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Purchasers</w:t>
            </w:r>
            <w:r w:rsidR="007536DB" w:rsidRPr="007A2862">
              <w:rPr>
                <w:sz w:val="22"/>
                <w:szCs w:val="22"/>
              </w:rPr>
              <w:t>:</w:t>
            </w:r>
          </w:p>
        </w:tc>
        <w:tc>
          <w:tcPr>
            <w:tcW w:w="7560" w:type="dxa"/>
          </w:tcPr>
          <w:p w14:paraId="666555DF" w14:textId="2D92D9D8" w:rsidR="007536DB" w:rsidRPr="007A2862" w:rsidRDefault="007060CF" w:rsidP="003075AE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v_field_purchaser_hashes_each v_field_purchaser_hashed_name</w:t>
            </w:r>
            <w:r w:rsidR="00907425">
              <w:rPr>
                <w:sz w:val="22"/>
                <w:szCs w:val="22"/>
              </w:rPr>
              <w:t xml:space="preserve"> (v_field_purchaser_hashed_investment_dollar_amount)</w:t>
            </w:r>
            <w:r>
              <w:rPr>
                <w:sz w:val="22"/>
                <w:szCs w:val="22"/>
              </w:rPr>
              <w:t xml:space="preserve"> v_field_comma_conjunctive v_field_end</w:t>
            </w:r>
            <w:r w:rsidR="007536DB" w:rsidRPr="007A2862">
              <w:rPr>
                <w:sz w:val="22"/>
                <w:szCs w:val="22"/>
              </w:rPr>
              <w:t xml:space="preserve"> (the “</w:t>
            </w:r>
            <w:r w:rsidR="003075AE">
              <w:rPr>
                <w:b/>
                <w:i/>
                <w:sz w:val="22"/>
                <w:szCs w:val="22"/>
              </w:rPr>
              <w:t>Purchasers</w:t>
            </w:r>
            <w:r w:rsidR="007536DB" w:rsidRPr="007A2862">
              <w:rPr>
                <w:sz w:val="22"/>
                <w:szCs w:val="22"/>
              </w:rPr>
              <w:t>”).</w:t>
            </w:r>
          </w:p>
        </w:tc>
      </w:tr>
      <w:tr w:rsidR="007536DB" w:rsidRPr="007A2862" w14:paraId="2DE8DADA" w14:textId="77777777" w:rsidTr="003C45C3">
        <w:trPr>
          <w:cantSplit/>
        </w:trPr>
        <w:tc>
          <w:tcPr>
            <w:tcW w:w="2088" w:type="dxa"/>
          </w:tcPr>
          <w:p w14:paraId="7DEE399E" w14:textId="77777777" w:rsidR="007536DB" w:rsidRPr="007A2862" w:rsidRDefault="007536DB" w:rsidP="005925E1">
            <w:pPr>
              <w:widowControl w:val="0"/>
              <w:spacing w:after="160"/>
              <w:rPr>
                <w:sz w:val="22"/>
                <w:szCs w:val="22"/>
              </w:rPr>
            </w:pPr>
            <w:r w:rsidRPr="007A2862">
              <w:rPr>
                <w:sz w:val="22"/>
                <w:szCs w:val="22"/>
              </w:rPr>
              <w:t>Price Per Share:</w:t>
            </w:r>
          </w:p>
        </w:tc>
        <w:tc>
          <w:tcPr>
            <w:tcW w:w="7560" w:type="dxa"/>
          </w:tcPr>
          <w:p w14:paraId="372552DE" w14:textId="71CDF492" w:rsidR="007536DB" w:rsidRPr="007A2862" w:rsidRDefault="0029011E" w:rsidP="007060CF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</w:t>
            </w:r>
            <w:r w:rsidR="007536DB" w:rsidRPr="007A2862">
              <w:rPr>
                <w:sz w:val="22"/>
                <w:szCs w:val="22"/>
              </w:rPr>
              <w:t xml:space="preserve"> per share (the “</w:t>
            </w:r>
            <w:r w:rsidR="007536DB" w:rsidRPr="007A2862">
              <w:rPr>
                <w:b/>
                <w:i/>
                <w:sz w:val="22"/>
                <w:szCs w:val="22"/>
              </w:rPr>
              <w:t>Original Issue Price</w:t>
            </w:r>
            <w:r w:rsidR="007536DB" w:rsidRPr="007A2862">
              <w:rPr>
                <w:sz w:val="22"/>
                <w:szCs w:val="22"/>
              </w:rPr>
              <w:t xml:space="preserve">”), based on a pre-money valuation of </w:t>
            </w:r>
            <w:r w:rsidR="007060CF">
              <w:rPr>
                <w:sz w:val="22"/>
                <w:szCs w:val="22"/>
              </w:rPr>
              <w:t>v_field_pre_money_dollar_valuation</w:t>
            </w:r>
            <w:r w:rsidR="007536DB" w:rsidRPr="007A2862">
              <w:rPr>
                <w:sz w:val="22"/>
                <w:szCs w:val="22"/>
              </w:rPr>
              <w:t xml:space="preserve">, including an available option pool of </w:t>
            </w:r>
            <w:r w:rsidR="007060CF">
              <w:rPr>
                <w:sz w:val="22"/>
                <w:szCs w:val="22"/>
              </w:rPr>
              <w:t>v_field_</w:t>
            </w:r>
            <w:r w:rsidR="000B1BAD">
              <w:rPr>
                <w:sz w:val="22"/>
                <w:szCs w:val="22"/>
              </w:rPr>
              <w:t>unallocated_</w:t>
            </w:r>
            <w:r w:rsidR="007060CF">
              <w:rPr>
                <w:sz w:val="22"/>
                <w:szCs w:val="22"/>
              </w:rPr>
              <w:t>option_pool_percent</w:t>
            </w:r>
            <w:r w:rsidR="007536DB" w:rsidRPr="007A2862">
              <w:rPr>
                <w:sz w:val="22"/>
                <w:szCs w:val="22"/>
              </w:rPr>
              <w:t>.</w:t>
            </w:r>
          </w:p>
        </w:tc>
      </w:tr>
      <w:tr w:rsidR="007536DB" w:rsidRPr="007A2862" w14:paraId="54216923" w14:textId="77777777" w:rsidTr="003C45C3">
        <w:trPr>
          <w:cantSplit/>
        </w:trPr>
        <w:tc>
          <w:tcPr>
            <w:tcW w:w="2088" w:type="dxa"/>
          </w:tcPr>
          <w:p w14:paraId="5920AC9E" w14:textId="77777777" w:rsidR="007536DB" w:rsidRPr="007A2862" w:rsidRDefault="007536DB" w:rsidP="005925E1">
            <w:pPr>
              <w:widowControl w:val="0"/>
              <w:spacing w:after="160"/>
              <w:rPr>
                <w:sz w:val="22"/>
                <w:szCs w:val="22"/>
              </w:rPr>
            </w:pPr>
            <w:r w:rsidRPr="007A2862">
              <w:rPr>
                <w:sz w:val="22"/>
                <w:szCs w:val="22"/>
              </w:rPr>
              <w:t>Liquidation Preference:</w:t>
            </w:r>
          </w:p>
        </w:tc>
        <w:tc>
          <w:tcPr>
            <w:tcW w:w="7560" w:type="dxa"/>
          </w:tcPr>
          <w:p w14:paraId="558B17EB" w14:textId="77777777" w:rsidR="007536DB" w:rsidRPr="007A2862" w:rsidRDefault="007536DB" w:rsidP="00620F93">
            <w:pPr>
              <w:pStyle w:val="TableText"/>
              <w:widowControl w:val="0"/>
              <w:spacing w:after="120"/>
              <w:jc w:val="both"/>
              <w:rPr>
                <w:color w:val="000000"/>
                <w:sz w:val="22"/>
                <w:szCs w:val="22"/>
              </w:rPr>
            </w:pPr>
            <w:r w:rsidRPr="007A2862">
              <w:rPr>
                <w:sz w:val="22"/>
                <w:szCs w:val="22"/>
              </w:rPr>
              <w:t>One time</w:t>
            </w:r>
            <w:r w:rsidR="0084660F">
              <w:rPr>
                <w:sz w:val="22"/>
                <w:szCs w:val="22"/>
              </w:rPr>
              <w:t>s</w:t>
            </w:r>
            <w:r w:rsidRPr="007A2862">
              <w:rPr>
                <w:sz w:val="22"/>
                <w:szCs w:val="22"/>
              </w:rPr>
              <w:t xml:space="preserve"> the Original Issue Price plus declared but unpaid dividends on each share of Series Seed, balance of proceeds paid to Common.</w:t>
            </w:r>
            <w:r w:rsidR="00522BC5">
              <w:rPr>
                <w:sz w:val="22"/>
                <w:szCs w:val="22"/>
              </w:rPr>
              <w:t xml:space="preserve"> </w:t>
            </w:r>
            <w:r w:rsidRPr="007A2862">
              <w:rPr>
                <w:sz w:val="22"/>
                <w:szCs w:val="22"/>
              </w:rPr>
              <w:t xml:space="preserve"> A merger, reorganization or </w:t>
            </w:r>
            <w:r w:rsidR="0029011E">
              <w:rPr>
                <w:sz w:val="22"/>
                <w:szCs w:val="22"/>
              </w:rPr>
              <w:t>similar</w:t>
            </w:r>
            <w:r w:rsidRPr="007A2862">
              <w:rPr>
                <w:sz w:val="22"/>
                <w:szCs w:val="22"/>
              </w:rPr>
              <w:t xml:space="preserve"> transaction will be treated as a liquidation.</w:t>
            </w:r>
          </w:p>
        </w:tc>
      </w:tr>
      <w:tr w:rsidR="007536DB" w:rsidRPr="007A2862" w14:paraId="48A7B057" w14:textId="77777777" w:rsidTr="003C45C3">
        <w:trPr>
          <w:cantSplit/>
        </w:trPr>
        <w:tc>
          <w:tcPr>
            <w:tcW w:w="2088" w:type="dxa"/>
          </w:tcPr>
          <w:p w14:paraId="20CB4A98" w14:textId="77777777" w:rsidR="007536DB" w:rsidRPr="007A2862" w:rsidRDefault="007536DB" w:rsidP="005925E1">
            <w:pPr>
              <w:widowControl w:val="0"/>
              <w:spacing w:after="160"/>
              <w:rPr>
                <w:sz w:val="22"/>
                <w:szCs w:val="22"/>
              </w:rPr>
            </w:pPr>
            <w:r w:rsidRPr="007A2862">
              <w:rPr>
                <w:sz w:val="22"/>
                <w:szCs w:val="22"/>
              </w:rPr>
              <w:t>Conversion:</w:t>
            </w:r>
          </w:p>
        </w:tc>
        <w:tc>
          <w:tcPr>
            <w:tcW w:w="7560" w:type="dxa"/>
          </w:tcPr>
          <w:p w14:paraId="31F96BC2" w14:textId="77777777" w:rsidR="007536DB" w:rsidRPr="007A2862" w:rsidRDefault="007536DB" w:rsidP="00D16A1A">
            <w:pPr>
              <w:widowControl w:val="0"/>
              <w:tabs>
                <w:tab w:val="left" w:pos="4302"/>
              </w:tabs>
              <w:spacing w:after="120"/>
              <w:jc w:val="both"/>
              <w:rPr>
                <w:sz w:val="22"/>
                <w:szCs w:val="22"/>
              </w:rPr>
            </w:pPr>
            <w:r w:rsidRPr="007A2862">
              <w:rPr>
                <w:sz w:val="22"/>
                <w:szCs w:val="22"/>
              </w:rPr>
              <w:t>Convertible into one share of Common (subject to proportional adjustments for stock splits, stock dividends and the like) at any time at the option of the holder.</w:t>
            </w:r>
          </w:p>
        </w:tc>
      </w:tr>
      <w:tr w:rsidR="007536DB" w:rsidRPr="007A2862" w14:paraId="14BDB330" w14:textId="77777777" w:rsidTr="003C45C3">
        <w:trPr>
          <w:cantSplit/>
        </w:trPr>
        <w:tc>
          <w:tcPr>
            <w:tcW w:w="2088" w:type="dxa"/>
          </w:tcPr>
          <w:p w14:paraId="6424E2A7" w14:textId="77777777" w:rsidR="007536DB" w:rsidRPr="007A2862" w:rsidRDefault="007536DB" w:rsidP="005925E1">
            <w:pPr>
              <w:widowControl w:val="0"/>
              <w:spacing w:after="160"/>
              <w:rPr>
                <w:sz w:val="22"/>
                <w:szCs w:val="22"/>
              </w:rPr>
            </w:pPr>
            <w:r w:rsidRPr="007A2862">
              <w:rPr>
                <w:sz w:val="22"/>
                <w:szCs w:val="22"/>
              </w:rPr>
              <w:t>Voting Rights:</w:t>
            </w:r>
          </w:p>
        </w:tc>
        <w:tc>
          <w:tcPr>
            <w:tcW w:w="7560" w:type="dxa"/>
          </w:tcPr>
          <w:p w14:paraId="761813D4" w14:textId="77777777" w:rsidR="007536DB" w:rsidRPr="007A2862" w:rsidRDefault="007536DB" w:rsidP="004C3F0F">
            <w:pPr>
              <w:widowControl w:val="0"/>
              <w:tabs>
                <w:tab w:val="left" w:pos="4302"/>
              </w:tabs>
              <w:spacing w:after="120"/>
              <w:jc w:val="both"/>
              <w:rPr>
                <w:sz w:val="22"/>
                <w:szCs w:val="22"/>
              </w:rPr>
            </w:pPr>
            <w:r w:rsidRPr="007A2862">
              <w:rPr>
                <w:sz w:val="22"/>
                <w:szCs w:val="22"/>
              </w:rPr>
              <w:t>Votes together with the Commo</w:t>
            </w:r>
            <w:r w:rsidR="00256C55">
              <w:rPr>
                <w:sz w:val="22"/>
                <w:szCs w:val="22"/>
              </w:rPr>
              <w:t>n Stock on all matters on an as-</w:t>
            </w:r>
            <w:r w:rsidRPr="007A2862">
              <w:rPr>
                <w:sz w:val="22"/>
                <w:szCs w:val="22"/>
              </w:rPr>
              <w:t xml:space="preserve">converted basis.  </w:t>
            </w:r>
            <w:r w:rsidR="00FC6DAE">
              <w:rPr>
                <w:sz w:val="22"/>
                <w:szCs w:val="22"/>
              </w:rPr>
              <w:t>Approval of a majority</w:t>
            </w:r>
            <w:r w:rsidRPr="007A2862">
              <w:rPr>
                <w:sz w:val="22"/>
                <w:szCs w:val="22"/>
              </w:rPr>
              <w:t xml:space="preserve"> of the Preferred Stock required to (i) adversely change rights of the Preferred Stock; (ii) change the authorized number of shares</w:t>
            </w:r>
            <w:r w:rsidR="00FC6DAE">
              <w:rPr>
                <w:sz w:val="22"/>
                <w:szCs w:val="22"/>
              </w:rPr>
              <w:t>; (iii)</w:t>
            </w:r>
            <w:r w:rsidR="00D16A1A">
              <w:rPr>
                <w:sz w:val="22"/>
                <w:szCs w:val="22"/>
              </w:rPr>
              <w:t xml:space="preserve"> authorize a new series </w:t>
            </w:r>
            <w:r w:rsidRPr="007A2862">
              <w:rPr>
                <w:sz w:val="22"/>
                <w:szCs w:val="22"/>
              </w:rPr>
              <w:t>of Preferred Stock</w:t>
            </w:r>
            <w:r w:rsidR="00D16A1A">
              <w:rPr>
                <w:sz w:val="22"/>
                <w:szCs w:val="22"/>
              </w:rPr>
              <w:t xml:space="preserve"> </w:t>
            </w:r>
            <w:r w:rsidR="00D16A1A" w:rsidRPr="007A2862">
              <w:rPr>
                <w:sz w:val="22"/>
                <w:szCs w:val="22"/>
              </w:rPr>
              <w:t>having rights senior to or on parity</w:t>
            </w:r>
            <w:r w:rsidR="00B46CFE">
              <w:rPr>
                <w:sz w:val="22"/>
                <w:szCs w:val="22"/>
              </w:rPr>
              <w:t xml:space="preserve"> with the Preferred Stock</w:t>
            </w:r>
            <w:r w:rsidRPr="007A2862">
              <w:rPr>
                <w:sz w:val="22"/>
                <w:szCs w:val="22"/>
              </w:rPr>
              <w:t xml:space="preserve">; (iv) redeem or repurchase any shares (other than pursuant to </w:t>
            </w:r>
            <w:r w:rsidR="004C3F0F">
              <w:rPr>
                <w:sz w:val="22"/>
                <w:szCs w:val="22"/>
              </w:rPr>
              <w:t>employee or consultant agreements</w:t>
            </w:r>
            <w:r w:rsidRPr="007A2862">
              <w:rPr>
                <w:sz w:val="22"/>
                <w:szCs w:val="22"/>
              </w:rPr>
              <w:t>); (v) declare or pay any dividen</w:t>
            </w:r>
            <w:r w:rsidR="00B21136">
              <w:rPr>
                <w:sz w:val="22"/>
                <w:szCs w:val="22"/>
              </w:rPr>
              <w:t>d; (vi)</w:t>
            </w:r>
            <w:r w:rsidR="00FC6DAE">
              <w:rPr>
                <w:sz w:val="22"/>
                <w:szCs w:val="22"/>
              </w:rPr>
              <w:t xml:space="preserve"> </w:t>
            </w:r>
            <w:r w:rsidR="00FC6DAE" w:rsidRPr="007A2862">
              <w:rPr>
                <w:sz w:val="22"/>
                <w:szCs w:val="22"/>
              </w:rPr>
              <w:t xml:space="preserve">change the </w:t>
            </w:r>
            <w:r w:rsidR="00FC6DAE">
              <w:rPr>
                <w:sz w:val="22"/>
                <w:szCs w:val="22"/>
              </w:rPr>
              <w:t>number of directors</w:t>
            </w:r>
            <w:r w:rsidR="00B21136">
              <w:rPr>
                <w:sz w:val="22"/>
                <w:szCs w:val="22"/>
              </w:rPr>
              <w:t xml:space="preserve">; or </w:t>
            </w:r>
            <w:r w:rsidRPr="007A2862">
              <w:rPr>
                <w:sz w:val="22"/>
                <w:szCs w:val="22"/>
              </w:rPr>
              <w:t xml:space="preserve">(vii) </w:t>
            </w:r>
            <w:r w:rsidR="00FC6DAE">
              <w:rPr>
                <w:sz w:val="22"/>
                <w:szCs w:val="22"/>
              </w:rPr>
              <w:t>liquidate or dissolve</w:t>
            </w:r>
            <w:r w:rsidR="00E16692">
              <w:rPr>
                <w:sz w:val="22"/>
                <w:szCs w:val="22"/>
              </w:rPr>
              <w:t>,</w:t>
            </w:r>
            <w:r w:rsidR="00FC6DAE">
              <w:rPr>
                <w:sz w:val="22"/>
                <w:szCs w:val="22"/>
              </w:rPr>
              <w:t xml:space="preserve"> including any change of control.</w:t>
            </w:r>
          </w:p>
        </w:tc>
      </w:tr>
      <w:tr w:rsidR="007536DB" w:rsidRPr="007A2862" w14:paraId="314E7B8D" w14:textId="77777777" w:rsidTr="003C45C3">
        <w:trPr>
          <w:cantSplit/>
        </w:trPr>
        <w:tc>
          <w:tcPr>
            <w:tcW w:w="2088" w:type="dxa"/>
          </w:tcPr>
          <w:p w14:paraId="4C9005FD" w14:textId="77777777" w:rsidR="007536DB" w:rsidRPr="007A2862" w:rsidRDefault="007536DB" w:rsidP="005925E1">
            <w:pPr>
              <w:widowControl w:val="0"/>
              <w:spacing w:after="160"/>
              <w:rPr>
                <w:sz w:val="22"/>
                <w:szCs w:val="22"/>
              </w:rPr>
            </w:pPr>
            <w:r w:rsidRPr="007A2862">
              <w:rPr>
                <w:sz w:val="22"/>
                <w:szCs w:val="22"/>
              </w:rPr>
              <w:t>Documentation:</w:t>
            </w:r>
          </w:p>
        </w:tc>
        <w:tc>
          <w:tcPr>
            <w:tcW w:w="7560" w:type="dxa"/>
          </w:tcPr>
          <w:p w14:paraId="4C4294AC" w14:textId="77777777" w:rsidR="007536DB" w:rsidRPr="007A2862" w:rsidRDefault="00FC6DAE" w:rsidP="0032577F">
            <w:pPr>
              <w:widowControl w:val="0"/>
              <w:tabs>
                <w:tab w:val="left" w:pos="4302"/>
              </w:tabs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Documents will be </w:t>
            </w:r>
            <w:r w:rsidR="0032577F">
              <w:rPr>
                <w:sz w:val="22"/>
                <w:szCs w:val="22"/>
              </w:rPr>
              <w:t>identical to the</w:t>
            </w:r>
            <w:r>
              <w:rPr>
                <w:sz w:val="22"/>
                <w:szCs w:val="22"/>
              </w:rPr>
              <w:t xml:space="preserve"> </w:t>
            </w:r>
            <w:r w:rsidR="007536DB" w:rsidRPr="007A2862">
              <w:rPr>
                <w:sz w:val="22"/>
                <w:szCs w:val="22"/>
              </w:rPr>
              <w:t>Series Seed Preferred Stock documents</w:t>
            </w:r>
            <w:r w:rsidR="008D6C37">
              <w:rPr>
                <w:sz w:val="22"/>
                <w:szCs w:val="22"/>
              </w:rPr>
              <w:t xml:space="preserve"> published at </w:t>
            </w:r>
            <w:r w:rsidR="008D6C37" w:rsidRPr="00B262A6">
              <w:rPr>
                <w:sz w:val="22"/>
                <w:szCs w:val="22"/>
              </w:rPr>
              <w:t>www.seriesseed.com</w:t>
            </w:r>
            <w:r w:rsidR="0032577F">
              <w:rPr>
                <w:sz w:val="22"/>
                <w:szCs w:val="22"/>
              </w:rPr>
              <w:t>, except for the modifications set forth in this Term Sheet</w:t>
            </w:r>
            <w:r w:rsidR="00B262A6">
              <w:rPr>
                <w:sz w:val="22"/>
                <w:szCs w:val="22"/>
              </w:rPr>
              <w:t>.</w:t>
            </w:r>
          </w:p>
        </w:tc>
      </w:tr>
      <w:tr w:rsidR="007536DB" w:rsidRPr="007A2862" w14:paraId="1DE82815" w14:textId="77777777" w:rsidTr="003C45C3">
        <w:trPr>
          <w:cantSplit/>
        </w:trPr>
        <w:tc>
          <w:tcPr>
            <w:tcW w:w="2088" w:type="dxa"/>
          </w:tcPr>
          <w:p w14:paraId="2AE6ADBC" w14:textId="77777777" w:rsidR="007536DB" w:rsidRPr="007A2862" w:rsidRDefault="007536DB" w:rsidP="005925E1">
            <w:pPr>
              <w:widowControl w:val="0"/>
              <w:spacing w:after="160"/>
              <w:rPr>
                <w:sz w:val="22"/>
                <w:szCs w:val="22"/>
              </w:rPr>
            </w:pPr>
            <w:r w:rsidRPr="007A2862">
              <w:rPr>
                <w:sz w:val="22"/>
                <w:szCs w:val="22"/>
              </w:rPr>
              <w:t>Financial Information:</w:t>
            </w:r>
          </w:p>
        </w:tc>
        <w:tc>
          <w:tcPr>
            <w:tcW w:w="7560" w:type="dxa"/>
          </w:tcPr>
          <w:p w14:paraId="6EA3D325" w14:textId="3FD1C63E" w:rsidR="007536DB" w:rsidRPr="007A2862" w:rsidRDefault="003075AE" w:rsidP="007B588A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Purchasers</w:t>
            </w:r>
            <w:r w:rsidR="007C7638">
              <w:rPr>
                <w:sz w:val="22"/>
                <w:szCs w:val="22"/>
              </w:rPr>
              <w:t xml:space="preserve"> </w:t>
            </w:r>
            <w:r w:rsidR="00206E1D">
              <w:rPr>
                <w:sz w:val="22"/>
                <w:szCs w:val="22"/>
              </w:rPr>
              <w:t>who</w:t>
            </w:r>
            <w:r w:rsidR="007E6FFE">
              <w:rPr>
                <w:sz w:val="22"/>
                <w:szCs w:val="22"/>
              </w:rPr>
              <w:t xml:space="preserve"> </w:t>
            </w:r>
            <w:r w:rsidR="00206E1D">
              <w:rPr>
                <w:sz w:val="22"/>
                <w:szCs w:val="22"/>
              </w:rPr>
              <w:t xml:space="preserve">have invested </w:t>
            </w:r>
            <w:r w:rsidR="00206E1D" w:rsidRPr="007A2862">
              <w:rPr>
                <w:sz w:val="22"/>
                <w:szCs w:val="22"/>
              </w:rPr>
              <w:t xml:space="preserve">at least </w:t>
            </w:r>
            <w:r w:rsidR="007060CF">
              <w:rPr>
                <w:sz w:val="22"/>
                <w:szCs w:val="22"/>
              </w:rPr>
              <w:t>v_field_major_</w:t>
            </w:r>
            <w:r w:rsidR="00B037BF">
              <w:rPr>
                <w:sz w:val="22"/>
                <w:szCs w:val="22"/>
              </w:rPr>
              <w:t>purchaser</w:t>
            </w:r>
            <w:r w:rsidR="007060CF">
              <w:rPr>
                <w:sz w:val="22"/>
                <w:szCs w:val="22"/>
              </w:rPr>
              <w:t>_dollar_threshold</w:t>
            </w:r>
            <w:r w:rsidR="00206E1D">
              <w:rPr>
                <w:sz w:val="22"/>
                <w:szCs w:val="22"/>
              </w:rPr>
              <w:t xml:space="preserve"> (“</w:t>
            </w:r>
            <w:r w:rsidR="00206E1D" w:rsidRPr="0084660F">
              <w:rPr>
                <w:b/>
                <w:i/>
                <w:sz w:val="22"/>
                <w:szCs w:val="22"/>
              </w:rPr>
              <w:t xml:space="preserve">Major </w:t>
            </w:r>
            <w:r>
              <w:rPr>
                <w:b/>
                <w:i/>
                <w:sz w:val="22"/>
                <w:szCs w:val="22"/>
              </w:rPr>
              <w:t>Purchasers</w:t>
            </w:r>
            <w:r w:rsidR="00206E1D">
              <w:rPr>
                <w:sz w:val="22"/>
                <w:szCs w:val="22"/>
              </w:rPr>
              <w:t>”)</w:t>
            </w:r>
            <w:r w:rsidR="007E6FFE">
              <w:rPr>
                <w:sz w:val="22"/>
                <w:szCs w:val="22"/>
              </w:rPr>
              <w:t xml:space="preserve"> </w:t>
            </w:r>
            <w:r w:rsidR="007536DB" w:rsidRPr="007A2862">
              <w:rPr>
                <w:sz w:val="22"/>
                <w:szCs w:val="22"/>
              </w:rPr>
              <w:t>will receive standard information and inspection rights</w:t>
            </w:r>
            <w:r w:rsidR="00B21136">
              <w:rPr>
                <w:sz w:val="22"/>
                <w:szCs w:val="22"/>
              </w:rPr>
              <w:t xml:space="preserve"> and management rights letter</w:t>
            </w:r>
            <w:r w:rsidR="007536DB" w:rsidRPr="007A2862">
              <w:rPr>
                <w:sz w:val="22"/>
                <w:szCs w:val="22"/>
              </w:rPr>
              <w:t>.</w:t>
            </w:r>
          </w:p>
        </w:tc>
      </w:tr>
      <w:tr w:rsidR="007536DB" w:rsidRPr="007A2862" w14:paraId="58CAC82A" w14:textId="77777777" w:rsidTr="003C45C3">
        <w:trPr>
          <w:cantSplit/>
        </w:trPr>
        <w:tc>
          <w:tcPr>
            <w:tcW w:w="2088" w:type="dxa"/>
          </w:tcPr>
          <w:p w14:paraId="6E5667FF" w14:textId="77777777" w:rsidR="007536DB" w:rsidRPr="007A2862" w:rsidRDefault="007536DB" w:rsidP="005925E1">
            <w:pPr>
              <w:widowControl w:val="0"/>
              <w:spacing w:after="160"/>
              <w:rPr>
                <w:sz w:val="22"/>
                <w:szCs w:val="22"/>
              </w:rPr>
            </w:pPr>
            <w:r w:rsidRPr="007A2862">
              <w:rPr>
                <w:sz w:val="22"/>
                <w:szCs w:val="22"/>
              </w:rPr>
              <w:t>Participation Right:</w:t>
            </w:r>
          </w:p>
        </w:tc>
        <w:tc>
          <w:tcPr>
            <w:tcW w:w="7560" w:type="dxa"/>
          </w:tcPr>
          <w:p w14:paraId="03E08E96" w14:textId="6D505A43" w:rsidR="007536DB" w:rsidRPr="007A2862" w:rsidRDefault="00206E1D" w:rsidP="00BF23DD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Major</w:t>
            </w:r>
            <w:r w:rsidR="007C7638">
              <w:rPr>
                <w:sz w:val="22"/>
                <w:szCs w:val="22"/>
              </w:rPr>
              <w:t xml:space="preserve"> </w:t>
            </w:r>
            <w:r w:rsidR="003075AE">
              <w:rPr>
                <w:sz w:val="22"/>
                <w:szCs w:val="22"/>
              </w:rPr>
              <w:t>Purchasers</w:t>
            </w:r>
            <w:r>
              <w:rPr>
                <w:sz w:val="22"/>
                <w:szCs w:val="22"/>
              </w:rPr>
              <w:t xml:space="preserve"> </w:t>
            </w:r>
            <w:r w:rsidR="007536DB" w:rsidRPr="007A2862">
              <w:rPr>
                <w:sz w:val="22"/>
                <w:szCs w:val="22"/>
              </w:rPr>
              <w:t xml:space="preserve">will have the right to participate </w:t>
            </w:r>
            <w:r w:rsidR="00994DD4">
              <w:rPr>
                <w:sz w:val="22"/>
                <w:szCs w:val="22"/>
              </w:rPr>
              <w:t>on a</w:t>
            </w:r>
            <w:r w:rsidR="007536DB" w:rsidRPr="007A2862">
              <w:rPr>
                <w:sz w:val="22"/>
                <w:szCs w:val="22"/>
              </w:rPr>
              <w:t xml:space="preserve"> pro rata </w:t>
            </w:r>
            <w:r w:rsidR="00994DD4">
              <w:rPr>
                <w:sz w:val="22"/>
                <w:szCs w:val="22"/>
              </w:rPr>
              <w:t xml:space="preserve">basis </w:t>
            </w:r>
            <w:r w:rsidR="007536DB" w:rsidRPr="007A2862">
              <w:rPr>
                <w:sz w:val="22"/>
                <w:szCs w:val="22"/>
              </w:rPr>
              <w:t xml:space="preserve">in subsequent </w:t>
            </w:r>
            <w:r w:rsidR="00B262A6">
              <w:rPr>
                <w:sz w:val="22"/>
                <w:szCs w:val="22"/>
              </w:rPr>
              <w:t>issuances of equity securities.</w:t>
            </w:r>
          </w:p>
        </w:tc>
      </w:tr>
      <w:tr w:rsidR="007536DB" w:rsidRPr="007A2862" w14:paraId="59565ADF" w14:textId="77777777" w:rsidTr="003C45C3">
        <w:trPr>
          <w:cantSplit/>
        </w:trPr>
        <w:tc>
          <w:tcPr>
            <w:tcW w:w="2088" w:type="dxa"/>
          </w:tcPr>
          <w:p w14:paraId="766DCB85" w14:textId="77777777" w:rsidR="007536DB" w:rsidRPr="007A2862" w:rsidRDefault="007536DB" w:rsidP="005925E1">
            <w:pPr>
              <w:widowControl w:val="0"/>
              <w:spacing w:after="160"/>
              <w:rPr>
                <w:sz w:val="22"/>
                <w:szCs w:val="22"/>
              </w:rPr>
            </w:pPr>
            <w:r w:rsidRPr="007A2862">
              <w:rPr>
                <w:sz w:val="22"/>
                <w:szCs w:val="22"/>
              </w:rPr>
              <w:t>Board of Directors:</w:t>
            </w:r>
          </w:p>
        </w:tc>
        <w:tc>
          <w:tcPr>
            <w:tcW w:w="7560" w:type="dxa"/>
          </w:tcPr>
          <w:p w14:paraId="6D25AC78" w14:textId="75A308FC" w:rsidR="007536DB" w:rsidRPr="007A2862" w:rsidRDefault="007060CF" w:rsidP="007060CF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v_field_number_common_directors</w:t>
            </w:r>
            <w:r w:rsidR="008D6C37">
              <w:rPr>
                <w:sz w:val="22"/>
                <w:szCs w:val="22"/>
              </w:rPr>
              <w:t xml:space="preserve"> director</w:t>
            </w:r>
            <w:r w:rsidR="001832D4">
              <w:rPr>
                <w:sz w:val="22"/>
                <w:szCs w:val="22"/>
              </w:rPr>
              <w:t>(</w:t>
            </w:r>
            <w:r w:rsidR="008D6C37">
              <w:rPr>
                <w:sz w:val="22"/>
                <w:szCs w:val="22"/>
              </w:rPr>
              <w:t>s</w:t>
            </w:r>
            <w:r w:rsidR="001832D4">
              <w:rPr>
                <w:sz w:val="22"/>
                <w:szCs w:val="22"/>
              </w:rPr>
              <w:t>)</w:t>
            </w:r>
            <w:r w:rsidR="008D6C37">
              <w:rPr>
                <w:sz w:val="22"/>
                <w:szCs w:val="22"/>
              </w:rPr>
              <w:t xml:space="preserve"> elected by </w:t>
            </w:r>
            <w:r w:rsidR="00FC6DAE">
              <w:rPr>
                <w:sz w:val="22"/>
                <w:szCs w:val="22"/>
              </w:rPr>
              <w:t>holders of a majority</w:t>
            </w:r>
            <w:r w:rsidR="008D6C37">
              <w:rPr>
                <w:sz w:val="22"/>
                <w:szCs w:val="22"/>
              </w:rPr>
              <w:t xml:space="preserve"> of common stock</w:t>
            </w:r>
            <w:r w:rsidR="00D16A1A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v_field_number_series_seed_directors</w:t>
            </w:r>
            <w:r w:rsidR="00D16A1A">
              <w:rPr>
                <w:sz w:val="22"/>
                <w:szCs w:val="22"/>
              </w:rPr>
              <w:t xml:space="preserve"> </w:t>
            </w:r>
            <w:r w:rsidR="008D6C37">
              <w:rPr>
                <w:sz w:val="22"/>
                <w:szCs w:val="22"/>
              </w:rPr>
              <w:t>elected by holders of a majority of Series Seed</w:t>
            </w:r>
            <w:r w:rsidR="00EF1DDA">
              <w:rPr>
                <w:sz w:val="22"/>
                <w:szCs w:val="22"/>
              </w:rPr>
              <w:t xml:space="preserve"> and </w:t>
            </w:r>
            <w:r>
              <w:rPr>
                <w:sz w:val="22"/>
                <w:szCs w:val="22"/>
              </w:rPr>
              <w:t>v_field_number_mutual_directors</w:t>
            </w:r>
            <w:r w:rsidR="00EF1DDA">
              <w:rPr>
                <w:sz w:val="22"/>
                <w:szCs w:val="22"/>
              </w:rPr>
              <w:t xml:space="preserve"> elected by mutual consent</w:t>
            </w:r>
            <w:r w:rsidR="007536DB" w:rsidRPr="007A2862">
              <w:rPr>
                <w:sz w:val="22"/>
                <w:szCs w:val="22"/>
              </w:rPr>
              <w:t>.</w:t>
            </w:r>
          </w:p>
        </w:tc>
      </w:tr>
      <w:tr w:rsidR="008D6C37" w:rsidRPr="007A2862" w14:paraId="64CE6E35" w14:textId="77777777" w:rsidTr="003C45C3">
        <w:trPr>
          <w:cantSplit/>
        </w:trPr>
        <w:tc>
          <w:tcPr>
            <w:tcW w:w="2088" w:type="dxa"/>
          </w:tcPr>
          <w:p w14:paraId="60E910C6" w14:textId="77777777" w:rsidR="008D6C37" w:rsidRPr="007A2862" w:rsidRDefault="008D6C37" w:rsidP="005925E1">
            <w:pPr>
              <w:widowControl w:val="0"/>
              <w:spacing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Expenses:</w:t>
            </w:r>
          </w:p>
        </w:tc>
        <w:tc>
          <w:tcPr>
            <w:tcW w:w="7560" w:type="dxa"/>
          </w:tcPr>
          <w:p w14:paraId="68356E1E" w14:textId="6C11669D" w:rsidR="008D6C37" w:rsidRPr="007A2862" w:rsidRDefault="008D6C37" w:rsidP="001A2AAB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 to rei</w:t>
            </w:r>
            <w:r w:rsidR="00703A30">
              <w:rPr>
                <w:sz w:val="22"/>
                <w:szCs w:val="22"/>
              </w:rPr>
              <w:t xml:space="preserve">mburse counsel to </w:t>
            </w:r>
            <w:r w:rsidR="001A2AAB">
              <w:rPr>
                <w:sz w:val="22"/>
                <w:szCs w:val="22"/>
              </w:rPr>
              <w:t>Purchasers</w:t>
            </w:r>
            <w:r w:rsidR="00703A30">
              <w:rPr>
                <w:sz w:val="22"/>
                <w:szCs w:val="22"/>
              </w:rPr>
              <w:t xml:space="preserve"> for</w:t>
            </w:r>
            <w:r w:rsidR="00B21136">
              <w:rPr>
                <w:sz w:val="22"/>
                <w:szCs w:val="22"/>
              </w:rPr>
              <w:t xml:space="preserve"> a flat fee of </w:t>
            </w:r>
            <w:r w:rsidR="004B556B">
              <w:rPr>
                <w:sz w:val="22"/>
                <w:szCs w:val="22"/>
              </w:rPr>
              <w:t>v_field_purchaser_counsel_dollar_reimbursement_amount</w:t>
            </w:r>
            <w:r>
              <w:rPr>
                <w:sz w:val="22"/>
                <w:szCs w:val="22"/>
              </w:rPr>
              <w:t>.</w:t>
            </w:r>
          </w:p>
        </w:tc>
      </w:tr>
      <w:tr w:rsidR="007536DB" w:rsidRPr="007A2862" w14:paraId="26B30275" w14:textId="77777777" w:rsidTr="003C45C3">
        <w:trPr>
          <w:cantSplit/>
        </w:trPr>
        <w:tc>
          <w:tcPr>
            <w:tcW w:w="2088" w:type="dxa"/>
          </w:tcPr>
          <w:p w14:paraId="5E66C403" w14:textId="77777777" w:rsidR="007536DB" w:rsidRPr="007A2862" w:rsidRDefault="007536DB" w:rsidP="005925E1">
            <w:pPr>
              <w:widowControl w:val="0"/>
              <w:spacing w:after="160"/>
              <w:rPr>
                <w:sz w:val="22"/>
                <w:szCs w:val="22"/>
              </w:rPr>
            </w:pPr>
            <w:r w:rsidRPr="007A2862">
              <w:rPr>
                <w:sz w:val="22"/>
                <w:szCs w:val="22"/>
              </w:rPr>
              <w:lastRenderedPageBreak/>
              <w:t>Future Rights:</w:t>
            </w:r>
          </w:p>
        </w:tc>
        <w:tc>
          <w:tcPr>
            <w:tcW w:w="7560" w:type="dxa"/>
          </w:tcPr>
          <w:p w14:paraId="277AA259" w14:textId="77777777" w:rsidR="007536DB" w:rsidRPr="007A2862" w:rsidRDefault="007536DB" w:rsidP="00D16A1A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 w:rsidRPr="007A2862">
              <w:rPr>
                <w:sz w:val="22"/>
                <w:szCs w:val="22"/>
              </w:rPr>
              <w:t xml:space="preserve">The Series Seed will be given the same rights as </w:t>
            </w:r>
            <w:r w:rsidR="00B21136">
              <w:rPr>
                <w:sz w:val="22"/>
                <w:szCs w:val="22"/>
              </w:rPr>
              <w:t>the next</w:t>
            </w:r>
            <w:r w:rsidRPr="007A2862">
              <w:rPr>
                <w:sz w:val="22"/>
                <w:szCs w:val="22"/>
              </w:rPr>
              <w:t xml:space="preserve"> series of Preferred Stock (with appropriate adjustments for economic terms).</w:t>
            </w:r>
          </w:p>
        </w:tc>
      </w:tr>
      <w:tr w:rsidR="008D6C37" w:rsidRPr="007A2862" w14:paraId="162E8994" w14:textId="77777777" w:rsidTr="003C45C3">
        <w:trPr>
          <w:cantSplit/>
        </w:trPr>
        <w:tc>
          <w:tcPr>
            <w:tcW w:w="2088" w:type="dxa"/>
          </w:tcPr>
          <w:p w14:paraId="3C71F8FA" w14:textId="77777777" w:rsidR="008D6C37" w:rsidRPr="007A2862" w:rsidRDefault="00F44E36" w:rsidP="005925E1">
            <w:pPr>
              <w:widowControl w:val="0"/>
              <w:spacing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Key Holder</w:t>
            </w:r>
            <w:r w:rsidR="008D6C37">
              <w:rPr>
                <w:sz w:val="22"/>
                <w:szCs w:val="22"/>
              </w:rPr>
              <w:t xml:space="preserve"> </w:t>
            </w:r>
            <w:r w:rsidR="00994DD4">
              <w:rPr>
                <w:sz w:val="22"/>
                <w:szCs w:val="22"/>
              </w:rPr>
              <w:t>Matters</w:t>
            </w:r>
          </w:p>
        </w:tc>
        <w:tc>
          <w:tcPr>
            <w:tcW w:w="7560" w:type="dxa"/>
          </w:tcPr>
          <w:p w14:paraId="7B696AAE" w14:textId="15DA4417" w:rsidR="008D6C37" w:rsidRPr="007A2862" w:rsidRDefault="008D6C37" w:rsidP="00AA78DC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Each </w:t>
            </w:r>
            <w:r w:rsidR="00F44E36">
              <w:rPr>
                <w:sz w:val="22"/>
                <w:szCs w:val="22"/>
              </w:rPr>
              <w:t>Key Holder</w:t>
            </w:r>
            <w:r>
              <w:rPr>
                <w:sz w:val="22"/>
                <w:szCs w:val="22"/>
              </w:rPr>
              <w:t xml:space="preserve"> shall have four years vesting </w:t>
            </w:r>
            <w:r w:rsidR="00D93733">
              <w:rPr>
                <w:sz w:val="22"/>
                <w:szCs w:val="22"/>
              </w:rPr>
              <w:t xml:space="preserve">beginning </w:t>
            </w:r>
            <w:r w:rsidR="007060CF">
              <w:rPr>
                <w:sz w:val="22"/>
                <w:szCs w:val="22"/>
              </w:rPr>
              <w:t>v_field_vesting_start_date</w:t>
            </w:r>
            <w:r w:rsidR="00D93733">
              <w:rPr>
                <w:sz w:val="22"/>
                <w:szCs w:val="22"/>
              </w:rPr>
              <w:t>.</w:t>
            </w:r>
            <w:r w:rsidR="00A96DCE">
              <w:rPr>
                <w:sz w:val="22"/>
                <w:szCs w:val="22"/>
              </w:rPr>
              <w:t xml:space="preserve"> </w:t>
            </w:r>
            <w:r w:rsidR="009B0B3A">
              <w:rPr>
                <w:sz w:val="22"/>
                <w:szCs w:val="22"/>
              </w:rPr>
              <w:t xml:space="preserve"> </w:t>
            </w:r>
            <w:r w:rsidR="00D93733">
              <w:rPr>
                <w:sz w:val="22"/>
                <w:szCs w:val="22"/>
              </w:rPr>
              <w:t>Full acceler</w:t>
            </w:r>
            <w:r w:rsidR="00B21136">
              <w:rPr>
                <w:sz w:val="22"/>
                <w:szCs w:val="22"/>
              </w:rPr>
              <w:t>ation upon “Double Trigger</w:t>
            </w:r>
            <w:r w:rsidR="00994DD4">
              <w:rPr>
                <w:sz w:val="22"/>
                <w:szCs w:val="22"/>
              </w:rPr>
              <w:t>.</w:t>
            </w:r>
            <w:r w:rsidR="00D93733">
              <w:rPr>
                <w:sz w:val="22"/>
                <w:szCs w:val="22"/>
              </w:rPr>
              <w:t>”</w:t>
            </w:r>
            <w:r w:rsidR="00C717C4">
              <w:rPr>
                <w:sz w:val="22"/>
                <w:szCs w:val="22"/>
              </w:rPr>
              <w:t xml:space="preserve">  v_field_custom_additional_key_holder_vesting_description_applicability v_field_custom_additional_key_holder_vesting_description</w:t>
            </w:r>
            <w:r w:rsidR="00D56FE1">
              <w:rPr>
                <w:sz w:val="22"/>
                <w:szCs w:val="22"/>
              </w:rPr>
              <w:t>_no_period.</w:t>
            </w:r>
            <w:r w:rsidR="003E457F">
              <w:rPr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C717C4">
              <w:rPr>
                <w:sz w:val="22"/>
                <w:szCs w:val="22"/>
              </w:rPr>
              <w:t>v_field_end</w:t>
            </w:r>
            <w:r w:rsidR="00B21136">
              <w:rPr>
                <w:sz w:val="22"/>
                <w:szCs w:val="22"/>
              </w:rPr>
              <w:t xml:space="preserve"> </w:t>
            </w:r>
            <w:r w:rsidR="00977BB2">
              <w:rPr>
                <w:sz w:val="22"/>
                <w:szCs w:val="22"/>
              </w:rPr>
              <w:t xml:space="preserve"> </w:t>
            </w:r>
            <w:r w:rsidR="00994DD4">
              <w:rPr>
                <w:sz w:val="22"/>
                <w:szCs w:val="22"/>
              </w:rPr>
              <w:t xml:space="preserve">Each </w:t>
            </w:r>
            <w:r w:rsidR="00F44E36">
              <w:rPr>
                <w:sz w:val="22"/>
                <w:szCs w:val="22"/>
              </w:rPr>
              <w:t>Key Holder</w:t>
            </w:r>
            <w:r w:rsidR="00994DD4">
              <w:rPr>
                <w:sz w:val="22"/>
                <w:szCs w:val="22"/>
              </w:rPr>
              <w:t xml:space="preserve"> shall have assign</w:t>
            </w:r>
            <w:r w:rsidR="00CB5514">
              <w:rPr>
                <w:sz w:val="22"/>
                <w:szCs w:val="22"/>
              </w:rPr>
              <w:t>ed</w:t>
            </w:r>
            <w:r w:rsidR="00D72672">
              <w:rPr>
                <w:sz w:val="22"/>
                <w:szCs w:val="22"/>
              </w:rPr>
              <w:t xml:space="preserve"> </w:t>
            </w:r>
            <w:r w:rsidR="00B21136">
              <w:rPr>
                <w:sz w:val="22"/>
                <w:szCs w:val="22"/>
              </w:rPr>
              <w:t>all relevant IP to the Company</w:t>
            </w:r>
            <w:r w:rsidR="00CB5514">
              <w:rPr>
                <w:sz w:val="22"/>
                <w:szCs w:val="22"/>
              </w:rPr>
              <w:t xml:space="preserve"> </w:t>
            </w:r>
            <w:r w:rsidR="00FA162D">
              <w:rPr>
                <w:sz w:val="22"/>
                <w:szCs w:val="22"/>
              </w:rPr>
              <w:t>before</w:t>
            </w:r>
            <w:r w:rsidR="00CB5514">
              <w:rPr>
                <w:sz w:val="22"/>
                <w:szCs w:val="22"/>
              </w:rPr>
              <w:t xml:space="preserve"> closing</w:t>
            </w:r>
            <w:r w:rsidR="00B21136">
              <w:rPr>
                <w:sz w:val="22"/>
                <w:szCs w:val="22"/>
              </w:rPr>
              <w:t>.</w:t>
            </w:r>
          </w:p>
        </w:tc>
      </w:tr>
      <w:tr w:rsidR="00FC6DAE" w14:paraId="2D5BE087" w14:textId="77777777" w:rsidTr="00FC6DAE">
        <w:trPr>
          <w:cantSplit/>
        </w:trPr>
        <w:tc>
          <w:tcPr>
            <w:tcW w:w="2088" w:type="dxa"/>
          </w:tcPr>
          <w:p w14:paraId="1260A9B1" w14:textId="77777777" w:rsidR="00FC6DAE" w:rsidRPr="00FC6DAE" w:rsidRDefault="00FC6DAE" w:rsidP="00FC6DAE">
            <w:pPr>
              <w:widowControl w:val="0"/>
              <w:spacing w:after="160"/>
              <w:rPr>
                <w:sz w:val="22"/>
                <w:szCs w:val="22"/>
              </w:rPr>
            </w:pPr>
            <w:r w:rsidRPr="00FC6DAE">
              <w:rPr>
                <w:sz w:val="22"/>
                <w:szCs w:val="22"/>
              </w:rPr>
              <w:t>Binding Terms:</w:t>
            </w:r>
          </w:p>
        </w:tc>
        <w:tc>
          <w:tcPr>
            <w:tcW w:w="7560" w:type="dxa"/>
          </w:tcPr>
          <w:p w14:paraId="215AA440" w14:textId="77777777" w:rsidR="00FC6DAE" w:rsidRPr="00FC6DAE" w:rsidRDefault="00FC6DAE" w:rsidP="00405C4D">
            <w:pPr>
              <w:widowControl w:val="0"/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a period of thirty days, t</w:t>
            </w:r>
            <w:r w:rsidRPr="00D16A1A">
              <w:rPr>
                <w:sz w:val="22"/>
                <w:szCs w:val="22"/>
              </w:rPr>
              <w:t xml:space="preserve">he Company </w:t>
            </w:r>
            <w:r w:rsidR="00405C4D">
              <w:rPr>
                <w:sz w:val="22"/>
                <w:szCs w:val="22"/>
              </w:rPr>
              <w:t>shall not</w:t>
            </w:r>
            <w:r w:rsidRPr="00D16A1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solicit offers from other parties for any financing</w:t>
            </w:r>
            <w:r w:rsidRPr="00D16A1A">
              <w:rPr>
                <w:sz w:val="22"/>
                <w:szCs w:val="22"/>
              </w:rPr>
              <w:t xml:space="preserve">.  </w:t>
            </w:r>
            <w:r>
              <w:rPr>
                <w:sz w:val="22"/>
                <w:szCs w:val="22"/>
              </w:rPr>
              <w:t xml:space="preserve">Without the consent of </w:t>
            </w:r>
            <w:r w:rsidR="001A2AAB">
              <w:rPr>
                <w:sz w:val="22"/>
                <w:szCs w:val="22"/>
              </w:rPr>
              <w:t>Purchasers</w:t>
            </w:r>
            <w:r>
              <w:rPr>
                <w:sz w:val="22"/>
                <w:szCs w:val="22"/>
              </w:rPr>
              <w:t>, t</w:t>
            </w:r>
            <w:r w:rsidRPr="00D16A1A">
              <w:rPr>
                <w:sz w:val="22"/>
                <w:szCs w:val="22"/>
              </w:rPr>
              <w:t xml:space="preserve">he Company </w:t>
            </w:r>
            <w:r w:rsidR="00405C4D">
              <w:rPr>
                <w:sz w:val="22"/>
                <w:szCs w:val="22"/>
              </w:rPr>
              <w:t>shall</w:t>
            </w:r>
            <w:r w:rsidR="00405C4D" w:rsidRPr="00D16A1A">
              <w:rPr>
                <w:sz w:val="22"/>
                <w:szCs w:val="22"/>
              </w:rPr>
              <w:t xml:space="preserve"> </w:t>
            </w:r>
            <w:r w:rsidRPr="00D16A1A">
              <w:rPr>
                <w:sz w:val="22"/>
                <w:szCs w:val="22"/>
              </w:rPr>
              <w:t xml:space="preserve">not disclose </w:t>
            </w:r>
            <w:r>
              <w:rPr>
                <w:sz w:val="22"/>
                <w:szCs w:val="22"/>
              </w:rPr>
              <w:t>these terms</w:t>
            </w:r>
            <w:r w:rsidRPr="00D16A1A">
              <w:rPr>
                <w:sz w:val="22"/>
                <w:szCs w:val="22"/>
              </w:rPr>
              <w:t xml:space="preserve"> to any</w:t>
            </w:r>
            <w:r>
              <w:rPr>
                <w:sz w:val="22"/>
                <w:szCs w:val="22"/>
              </w:rPr>
              <w:t>one</w:t>
            </w:r>
            <w:r w:rsidRPr="00D16A1A">
              <w:rPr>
                <w:sz w:val="22"/>
                <w:szCs w:val="22"/>
              </w:rPr>
              <w:t xml:space="preserve"> other than officers, </w:t>
            </w:r>
            <w:r>
              <w:rPr>
                <w:sz w:val="22"/>
                <w:szCs w:val="22"/>
              </w:rPr>
              <w:t>directors,</w:t>
            </w:r>
            <w:r w:rsidRPr="00D16A1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key service providers,</w:t>
            </w:r>
            <w:r w:rsidRPr="00D16A1A">
              <w:rPr>
                <w:sz w:val="22"/>
                <w:szCs w:val="22"/>
              </w:rPr>
              <w:t xml:space="preserve"> and other potential </w:t>
            </w:r>
            <w:r w:rsidR="001A2AAB">
              <w:rPr>
                <w:sz w:val="22"/>
                <w:szCs w:val="22"/>
              </w:rPr>
              <w:t>Purchasers</w:t>
            </w:r>
            <w:r w:rsidR="00B92D01">
              <w:rPr>
                <w:sz w:val="22"/>
                <w:szCs w:val="22"/>
              </w:rPr>
              <w:t xml:space="preserve"> in this financing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4DFAE248" w14:textId="77777777" w:rsidR="00565D1B" w:rsidRDefault="00565D1B" w:rsidP="00FC6DAE">
      <w:pPr>
        <w:pStyle w:val="BodyText"/>
        <w:rPr>
          <w:b/>
          <w:caps/>
        </w:rPr>
      </w:pPr>
    </w:p>
    <w:p w14:paraId="38FC04F5" w14:textId="77777777" w:rsidR="00FC6DAE" w:rsidRPr="00076A41" w:rsidRDefault="00FC6DAE" w:rsidP="00FC6DAE">
      <w:pPr>
        <w:pStyle w:val="BodyText"/>
        <w:rPr>
          <w:b/>
          <w:caps/>
        </w:rPr>
      </w:pPr>
      <w:r w:rsidRPr="00076A41">
        <w:rPr>
          <w:b/>
          <w:caps/>
        </w:rPr>
        <w:t xml:space="preserve">Company: </w:t>
      </w:r>
    </w:p>
    <w:p w14:paraId="3756EC1E" w14:textId="77777777" w:rsidR="007060CF" w:rsidRPr="00076A41" w:rsidRDefault="007060CF" w:rsidP="00FC6DAE">
      <w:pPr>
        <w:pStyle w:val="BodyText"/>
        <w:rPr>
          <w:b/>
          <w:caps/>
        </w:rPr>
      </w:pPr>
      <w:r w:rsidRPr="00076A41">
        <w:rPr>
          <w:b/>
          <w:caps/>
        </w:rPr>
        <w:t>v_field_company_name_upcase</w:t>
      </w:r>
    </w:p>
    <w:p w14:paraId="09CE236D" w14:textId="413B4640" w:rsidR="00076A41" w:rsidRDefault="00076A41" w:rsidP="00FC6DAE">
      <w:pPr>
        <w:pStyle w:val="BodyText"/>
        <w:rPr>
          <w:szCs w:val="24"/>
        </w:rPr>
      </w:pPr>
      <w:r>
        <w:rPr>
          <w:szCs w:val="24"/>
        </w:rPr>
        <w:t>v_sig_company_chained_titled_dated</w:t>
      </w:r>
    </w:p>
    <w:p w14:paraId="4431B00A" w14:textId="1A02DE31" w:rsidR="00076A41" w:rsidRPr="00076A41" w:rsidRDefault="00076A41" w:rsidP="00FC6DAE">
      <w:pPr>
        <w:pStyle w:val="BodyText"/>
        <w:rPr>
          <w:szCs w:val="24"/>
        </w:rPr>
      </w:pPr>
      <w:r>
        <w:rPr>
          <w:szCs w:val="24"/>
        </w:rPr>
        <w:t>v_field_else</w:t>
      </w:r>
    </w:p>
    <w:p w14:paraId="1CAD0ED2" w14:textId="77777777" w:rsidR="00FC6DAE" w:rsidRPr="00FC6DAE" w:rsidRDefault="00FC6DAE" w:rsidP="00FC6DAE">
      <w:pPr>
        <w:pStyle w:val="BodyText"/>
        <w:rPr>
          <w:caps/>
        </w:rPr>
      </w:pPr>
    </w:p>
    <w:p w14:paraId="361E528D" w14:textId="77777777" w:rsidR="00FC6DAE" w:rsidRPr="00FC6DAE" w:rsidRDefault="00FC6DAE" w:rsidP="00FC6DAE">
      <w:pPr>
        <w:pStyle w:val="BodyText"/>
        <w:rPr>
          <w:caps/>
          <w:u w:val="single"/>
        </w:rPr>
      </w:pPr>
      <w:r w:rsidRPr="00FC6DAE">
        <w:rPr>
          <w:caps/>
          <w:u w:val="single"/>
        </w:rPr>
        <w:tab/>
      </w:r>
      <w:r w:rsidRPr="00FC6DAE">
        <w:rPr>
          <w:caps/>
          <w:u w:val="single"/>
        </w:rPr>
        <w:tab/>
      </w:r>
      <w:r w:rsidRPr="00FC6DAE">
        <w:rPr>
          <w:caps/>
          <w:u w:val="single"/>
        </w:rPr>
        <w:tab/>
      </w:r>
      <w:r w:rsidRPr="00FC6DAE">
        <w:rPr>
          <w:caps/>
          <w:u w:val="single"/>
        </w:rPr>
        <w:tab/>
      </w:r>
      <w:r w:rsidRPr="00FC6DAE">
        <w:rPr>
          <w:caps/>
          <w:u w:val="single"/>
        </w:rPr>
        <w:tab/>
      </w:r>
      <w:r w:rsidRPr="00FC6DAE">
        <w:rPr>
          <w:caps/>
          <w:u w:val="single"/>
        </w:rPr>
        <w:tab/>
      </w:r>
    </w:p>
    <w:p w14:paraId="4451B0E8" w14:textId="77777777" w:rsidR="00FC6DAE" w:rsidRPr="00FC6DAE" w:rsidRDefault="00FC6DAE" w:rsidP="00FC6DAE">
      <w:pPr>
        <w:pStyle w:val="BodyText"/>
        <w:rPr>
          <w:u w:val="single"/>
        </w:rPr>
      </w:pPr>
      <w:r w:rsidRPr="00FC6DAE">
        <w:t xml:space="preserve">Name:  </w:t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</w:p>
    <w:p w14:paraId="0CFC8B47" w14:textId="77777777" w:rsidR="00615A4F" w:rsidRDefault="00FC6DAE" w:rsidP="00FC6DAE">
      <w:pPr>
        <w:pStyle w:val="BodyText"/>
      </w:pPr>
      <w:r w:rsidRPr="00FC6DAE">
        <w:t xml:space="preserve">Title: </w:t>
      </w:r>
      <w:r w:rsidRPr="00FC6DAE">
        <w:rPr>
          <w:u w:val="single"/>
        </w:rPr>
        <w:t xml:space="preserve"> </w:t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</w:p>
    <w:p w14:paraId="4F77D1D9" w14:textId="77777777" w:rsidR="00615A4F" w:rsidRPr="00615A4F" w:rsidRDefault="00615A4F" w:rsidP="00FC6DAE">
      <w:pPr>
        <w:pStyle w:val="BodyText"/>
      </w:pPr>
      <w:r>
        <w:t xml:space="preserve">Date: </w:t>
      </w:r>
      <w:r w:rsidRPr="00FC6DAE">
        <w:rPr>
          <w:u w:val="single"/>
        </w:rPr>
        <w:t xml:space="preserve"> </w:t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</w:p>
    <w:p w14:paraId="42BA4E5E" w14:textId="1AA5BA3F" w:rsidR="007060CF" w:rsidRPr="00076A41" w:rsidRDefault="00076A41" w:rsidP="00FC6DAE">
      <w:pPr>
        <w:pStyle w:val="BodyText"/>
        <w:rPr>
          <w:szCs w:val="24"/>
        </w:rPr>
      </w:pPr>
      <w:r>
        <w:rPr>
          <w:szCs w:val="24"/>
        </w:rPr>
        <w:t>v_field_end</w:t>
      </w:r>
    </w:p>
    <w:p w14:paraId="7B12C893" w14:textId="77777777" w:rsidR="00076A41" w:rsidRDefault="00076A41" w:rsidP="00FC6DAE">
      <w:pPr>
        <w:pStyle w:val="BodyText"/>
        <w:rPr>
          <w:caps/>
        </w:rPr>
      </w:pPr>
    </w:p>
    <w:p w14:paraId="005D5281" w14:textId="10D4B5FE" w:rsidR="00FC6DAE" w:rsidRDefault="001A2AAB" w:rsidP="00FC6DAE">
      <w:pPr>
        <w:pStyle w:val="BodyText"/>
        <w:rPr>
          <w:b/>
          <w:caps/>
        </w:rPr>
      </w:pPr>
      <w:r w:rsidRPr="00076A41">
        <w:rPr>
          <w:b/>
          <w:caps/>
        </w:rPr>
        <w:t>Purchasers</w:t>
      </w:r>
      <w:r w:rsidR="00D038E3">
        <w:rPr>
          <w:b/>
          <w:caps/>
        </w:rPr>
        <w:t>:</w:t>
      </w:r>
    </w:p>
    <w:p w14:paraId="0218370B" w14:textId="77777777" w:rsidR="00D038E3" w:rsidRPr="00076A41" w:rsidRDefault="00D038E3" w:rsidP="00D038E3">
      <w:pPr>
        <w:pStyle w:val="BodyText"/>
        <w:rPr>
          <w:szCs w:val="24"/>
        </w:rPr>
      </w:pPr>
      <w:r>
        <w:rPr>
          <w:szCs w:val="24"/>
        </w:rPr>
        <w:t>v_sigs_purchasers</w:t>
      </w:r>
    </w:p>
    <w:p w14:paraId="7604579E" w14:textId="77777777" w:rsidR="00D038E3" w:rsidRPr="00076A41" w:rsidRDefault="00D038E3" w:rsidP="00D038E3">
      <w:pPr>
        <w:pStyle w:val="BodyText"/>
        <w:rPr>
          <w:b/>
          <w:caps/>
        </w:rPr>
      </w:pPr>
      <w:r>
        <w:rPr>
          <w:b/>
          <w:caps/>
        </w:rPr>
        <w:t>v_sigs_purchasers_hashed_name_upcase</w:t>
      </w:r>
    </w:p>
    <w:p w14:paraId="1FA23234" w14:textId="77777777" w:rsidR="00D038E3" w:rsidRDefault="00D038E3" w:rsidP="00D038E3">
      <w:pPr>
        <w:pStyle w:val="BodyText"/>
        <w:rPr>
          <w:caps/>
        </w:rPr>
      </w:pPr>
    </w:p>
    <w:p w14:paraId="2C6CAB5D" w14:textId="77777777" w:rsidR="00D038E3" w:rsidRDefault="00D038E3" w:rsidP="00D038E3">
      <w:pPr>
        <w:pStyle w:val="BodyText"/>
        <w:rPr>
          <w:szCs w:val="24"/>
        </w:rPr>
      </w:pPr>
      <w:r>
        <w:rPr>
          <w:szCs w:val="24"/>
        </w:rPr>
        <w:t>v_sig_purchaser_chained_titled_dated</w:t>
      </w:r>
    </w:p>
    <w:p w14:paraId="5FF6EAA5" w14:textId="77777777" w:rsidR="00D038E3" w:rsidRPr="005E156E" w:rsidRDefault="00D038E3" w:rsidP="00D038E3">
      <w:pPr>
        <w:pStyle w:val="BodyText"/>
        <w:rPr>
          <w:szCs w:val="24"/>
        </w:rPr>
      </w:pPr>
      <w:r>
        <w:rPr>
          <w:szCs w:val="24"/>
        </w:rPr>
        <w:t>v_field_else</w:t>
      </w:r>
    </w:p>
    <w:p w14:paraId="1E94B04F" w14:textId="77777777" w:rsidR="00D038E3" w:rsidRPr="00FC6DAE" w:rsidRDefault="00D038E3" w:rsidP="00D038E3">
      <w:pPr>
        <w:pStyle w:val="BodyText"/>
        <w:rPr>
          <w:caps/>
        </w:rPr>
      </w:pPr>
    </w:p>
    <w:p w14:paraId="493C7D8C" w14:textId="77777777" w:rsidR="00D038E3" w:rsidRPr="00615A4F" w:rsidRDefault="00D038E3" w:rsidP="00D038E3">
      <w:pPr>
        <w:pStyle w:val="BodyText"/>
        <w:rPr>
          <w:caps/>
          <w:u w:val="single"/>
        </w:rPr>
      </w:pPr>
      <w:r w:rsidRPr="00FC6DAE">
        <w:rPr>
          <w:caps/>
          <w:u w:val="single"/>
        </w:rPr>
        <w:tab/>
      </w:r>
      <w:r w:rsidRPr="00FC6DAE">
        <w:rPr>
          <w:caps/>
          <w:u w:val="single"/>
        </w:rPr>
        <w:tab/>
      </w:r>
      <w:r w:rsidRPr="00FC6DAE">
        <w:rPr>
          <w:caps/>
          <w:u w:val="single"/>
        </w:rPr>
        <w:tab/>
      </w:r>
      <w:r w:rsidRPr="00FC6DAE">
        <w:rPr>
          <w:caps/>
          <w:u w:val="single"/>
        </w:rPr>
        <w:tab/>
      </w:r>
      <w:r w:rsidRPr="00FC6DAE">
        <w:rPr>
          <w:caps/>
          <w:u w:val="single"/>
        </w:rPr>
        <w:tab/>
      </w:r>
      <w:r w:rsidRPr="00FC6DAE">
        <w:rPr>
          <w:caps/>
          <w:u w:val="single"/>
        </w:rPr>
        <w:tab/>
      </w:r>
    </w:p>
    <w:p w14:paraId="30A93C33" w14:textId="77777777" w:rsidR="00D038E3" w:rsidRPr="00FC6DAE" w:rsidRDefault="00D038E3" w:rsidP="00D038E3">
      <w:pPr>
        <w:pStyle w:val="BodyText"/>
      </w:pPr>
      <w:r w:rsidRPr="00FC6DAE">
        <w:t xml:space="preserve">Name:  </w:t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</w:p>
    <w:p w14:paraId="67775049" w14:textId="77777777" w:rsidR="00D038E3" w:rsidRDefault="00D038E3" w:rsidP="00D038E3">
      <w:pPr>
        <w:pStyle w:val="BodyText"/>
      </w:pPr>
      <w:r w:rsidRPr="00FC6DAE">
        <w:t xml:space="preserve">Title:  </w:t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</w:p>
    <w:p w14:paraId="674FDF9A" w14:textId="77777777" w:rsidR="00D038E3" w:rsidRDefault="00D038E3" w:rsidP="00D038E3">
      <w:pPr>
        <w:pStyle w:val="BodyText"/>
      </w:pPr>
      <w:r>
        <w:t xml:space="preserve">Date: </w:t>
      </w:r>
      <w:r w:rsidRPr="00FC6DAE">
        <w:rPr>
          <w:u w:val="single"/>
        </w:rPr>
        <w:t xml:space="preserve"> </w:t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  <w:r w:rsidRPr="00FC6DAE">
        <w:rPr>
          <w:u w:val="single"/>
        </w:rPr>
        <w:tab/>
      </w:r>
    </w:p>
    <w:p w14:paraId="7E42040A" w14:textId="77777777" w:rsidR="00D038E3" w:rsidRDefault="00D038E3" w:rsidP="00D038E3">
      <w:pPr>
        <w:pStyle w:val="BodyText"/>
      </w:pPr>
      <w:r>
        <w:t>v_field_end</w:t>
      </w:r>
    </w:p>
    <w:p w14:paraId="45A1DF74" w14:textId="77777777" w:rsidR="00D038E3" w:rsidRDefault="00D038E3" w:rsidP="00D038E3">
      <w:pPr>
        <w:pStyle w:val="BodyText"/>
      </w:pPr>
    </w:p>
    <w:p w14:paraId="7ABB64D5" w14:textId="02DE5B83" w:rsidR="00D038E3" w:rsidRPr="00D038E3" w:rsidRDefault="00D038E3" w:rsidP="00FC6DAE">
      <w:pPr>
        <w:pStyle w:val="BodyText"/>
      </w:pPr>
      <w:r>
        <w:t>v_sigs_end</w:t>
      </w:r>
    </w:p>
    <w:sectPr w:rsidR="00D038E3" w:rsidRPr="00D038E3" w:rsidSect="00FC6DAE">
      <w:footerReference w:type="default" r:id="rId9"/>
      <w:footerReference w:type="first" r:id="rId10"/>
      <w:type w:val="continuous"/>
      <w:pgSz w:w="12240" w:h="15840" w:code="1"/>
      <w:pgMar w:top="1440" w:right="1440" w:bottom="720" w:left="1440" w:header="720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A0B03" w14:textId="77777777" w:rsidR="00864364" w:rsidRDefault="00864364">
      <w:r>
        <w:separator/>
      </w:r>
    </w:p>
  </w:endnote>
  <w:endnote w:type="continuationSeparator" w:id="0">
    <w:p w14:paraId="1AA88F92" w14:textId="77777777" w:rsidR="00864364" w:rsidRDefault="0086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55DEE" w14:textId="145B813D" w:rsidR="00864364" w:rsidRDefault="00864364">
    <w:pPr>
      <w:pStyle w:val="Footer"/>
    </w:pPr>
    <w:r>
      <w:t>v_field_doc_template_id | v_field_file_store_id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2C94B" w14:textId="02395BEC" w:rsidR="00864364" w:rsidRPr="00D32EF0" w:rsidRDefault="00864364" w:rsidP="00F26C9D">
    <w:pPr>
      <w:pStyle w:val="Footer"/>
    </w:pPr>
    <w:r>
      <w:t>v_field_doc_template_id | v_field_file_store_id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C0817" w14:textId="77777777" w:rsidR="00864364" w:rsidRDefault="00864364">
      <w:r>
        <w:separator/>
      </w:r>
    </w:p>
  </w:footnote>
  <w:footnote w:type="continuationSeparator" w:id="0">
    <w:p w14:paraId="22143A29" w14:textId="77777777" w:rsidR="00864364" w:rsidRDefault="00864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lowerLetter"/>
      <w:pStyle w:val="Heading1"/>
      <w:lvlText w:val="(%1)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pStyle w:val="Heading2"/>
      <w:lvlText w:val="%2."/>
      <w:legacy w:legacy="1" w:legacySpace="0" w:legacyIndent="720"/>
      <w:lvlJc w:val="left"/>
      <w:pPr>
        <w:ind w:left="0" w:hanging="720"/>
      </w:pPr>
    </w:lvl>
    <w:lvl w:ilvl="2">
      <w:start w:val="1"/>
      <w:numFmt w:val="decimal"/>
      <w:pStyle w:val="Heading3"/>
      <w:lvlText w:val="%3."/>
      <w:legacy w:legacy="1" w:legacySpace="0" w:legacyIndent="720"/>
      <w:lvlJc w:val="left"/>
      <w:pPr>
        <w:ind w:left="0" w:hanging="720"/>
      </w:p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0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0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0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6480" w:hanging="720"/>
      </w:pPr>
    </w:lvl>
  </w:abstractNum>
  <w:abstractNum w:abstractNumId="1">
    <w:nsid w:val="1B9149FA"/>
    <w:multiLevelType w:val="multilevel"/>
    <w:tmpl w:val="8B6C45A0"/>
    <w:name w:val="zzmpLegal2Inde||Legal2 (Indent)|2|3|1|1|0|13||1|0|5||1|0|4||1|0|5||1|0|4||1|0|4||1|0|4||1|0|4||1|0|4||"/>
    <w:lvl w:ilvl="0">
      <w:start w:val="1"/>
      <w:numFmt w:val="decimal"/>
      <w:lvlRestart w:val="0"/>
      <w:pStyle w:val="Legal2IndeL1"/>
      <w:lvlText w:val="%1."/>
      <w:lvlJc w:val="left"/>
      <w:pPr>
        <w:tabs>
          <w:tab w:val="num" w:pos="1440"/>
        </w:tabs>
        <w:ind w:left="0" w:firstLine="720"/>
      </w:pPr>
      <w:rPr>
        <w:rFonts w:ascii="Times New Roman" w:hAnsi="Times New Roman"/>
        <w:b/>
        <w:i w:val="0"/>
        <w:caps/>
        <w:smallCaps w:val="0"/>
        <w:color w:val="auto"/>
        <w:sz w:val="24"/>
        <w:u w:val="none"/>
      </w:rPr>
    </w:lvl>
    <w:lvl w:ilvl="1">
      <w:start w:val="1"/>
      <w:numFmt w:val="decimal"/>
      <w:pStyle w:val="Legal2IndeL2"/>
      <w:lvlText w:val="%1.%2"/>
      <w:lvlJc w:val="left"/>
      <w:pPr>
        <w:tabs>
          <w:tab w:val="num" w:pos="2160"/>
        </w:tabs>
        <w:ind w:left="0" w:firstLine="1440"/>
      </w:pPr>
      <w:rPr>
        <w:rFonts w:ascii="Times New Roman" w:hAnsi="Times New Roman"/>
        <w:b/>
        <w:i w:val="0"/>
        <w:caps w:val="0"/>
        <w:color w:val="auto"/>
        <w:sz w:val="24"/>
        <w:u w:val="none"/>
      </w:rPr>
    </w:lvl>
    <w:lvl w:ilvl="2">
      <w:start w:val="1"/>
      <w:numFmt w:val="lowerLetter"/>
      <w:pStyle w:val="Legal2IndeL3"/>
      <w:lvlText w:val="(%3)"/>
      <w:lvlJc w:val="left"/>
      <w:pPr>
        <w:tabs>
          <w:tab w:val="num" w:pos="2880"/>
        </w:tabs>
        <w:ind w:left="0" w:firstLine="216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pStyle w:val="Legal2IndeL4"/>
      <w:lvlText w:val="(%4)"/>
      <w:lvlJc w:val="left"/>
      <w:pPr>
        <w:tabs>
          <w:tab w:val="num" w:pos="3600"/>
        </w:tabs>
        <w:ind w:left="0" w:firstLine="2880"/>
      </w:pPr>
      <w:rPr>
        <w:rFonts w:ascii="Times New Roman" w:hAnsi="Times New Roman"/>
        <w:b w:val="0"/>
        <w:i w:val="0"/>
        <w:caps w:val="0"/>
        <w:color w:val="auto"/>
        <w:sz w:val="24"/>
        <w:u w:val="none"/>
      </w:rPr>
    </w:lvl>
    <w:lvl w:ilvl="4">
      <w:start w:val="1"/>
      <w:numFmt w:val="decimal"/>
      <w:pStyle w:val="Legal2IndeL5"/>
      <w:lvlText w:val="(%5)"/>
      <w:lvlJc w:val="left"/>
      <w:pPr>
        <w:tabs>
          <w:tab w:val="num" w:pos="4320"/>
        </w:tabs>
        <w:ind w:left="0" w:firstLine="3600"/>
      </w:pPr>
      <w:rPr>
        <w:rFonts w:ascii="Times New Roman" w:hAnsi="Times New Roman"/>
        <w:b/>
        <w:i w:val="0"/>
        <w:caps w:val="0"/>
        <w:color w:val="auto"/>
        <w:sz w:val="24"/>
        <w:u w:val="none"/>
      </w:rPr>
    </w:lvl>
    <w:lvl w:ilvl="5">
      <w:start w:val="1"/>
      <w:numFmt w:val="lowerLetter"/>
      <w:pStyle w:val="Legal2IndeL6"/>
      <w:lvlText w:val="%6."/>
      <w:lvlJc w:val="left"/>
      <w:pPr>
        <w:tabs>
          <w:tab w:val="num" w:pos="5040"/>
        </w:tabs>
        <w:ind w:left="0" w:firstLine="4320"/>
      </w:pPr>
      <w:rPr>
        <w:rFonts w:ascii="Times New Roman" w:hAnsi="Times New Roman"/>
        <w:b/>
        <w:i w:val="0"/>
        <w:caps w:val="0"/>
        <w:color w:val="auto"/>
        <w:sz w:val="24"/>
        <w:u w:val="none"/>
      </w:rPr>
    </w:lvl>
    <w:lvl w:ilvl="6">
      <w:start w:val="1"/>
      <w:numFmt w:val="lowerRoman"/>
      <w:pStyle w:val="Legal2IndeL7"/>
      <w:lvlText w:val="%7."/>
      <w:lvlJc w:val="left"/>
      <w:pPr>
        <w:tabs>
          <w:tab w:val="num" w:pos="5760"/>
        </w:tabs>
        <w:ind w:left="0" w:firstLine="5040"/>
      </w:pPr>
      <w:rPr>
        <w:rFonts w:ascii="Times New Roman" w:hAnsi="Times New Roman"/>
        <w:b/>
        <w:i w:val="0"/>
        <w:caps w:val="0"/>
        <w:color w:val="auto"/>
        <w:sz w:val="24"/>
        <w:u w:val="none"/>
      </w:rPr>
    </w:lvl>
    <w:lvl w:ilvl="7">
      <w:start w:val="1"/>
      <w:numFmt w:val="lowerLetter"/>
      <w:pStyle w:val="Legal2IndeL8"/>
      <w:lvlText w:val="%8)"/>
      <w:lvlJc w:val="left"/>
      <w:pPr>
        <w:tabs>
          <w:tab w:val="num" w:pos="6480"/>
        </w:tabs>
        <w:ind w:left="0" w:firstLine="5760"/>
      </w:pPr>
      <w:rPr>
        <w:rFonts w:ascii="Times New Roman" w:hAnsi="Times New Roman"/>
        <w:b/>
        <w:i w:val="0"/>
        <w:caps w:val="0"/>
        <w:color w:val="auto"/>
        <w:sz w:val="24"/>
        <w:u w:val="none"/>
      </w:rPr>
    </w:lvl>
    <w:lvl w:ilvl="8">
      <w:start w:val="1"/>
      <w:numFmt w:val="lowerRoman"/>
      <w:pStyle w:val="Legal2IndeL9"/>
      <w:lvlText w:val="%9)"/>
      <w:lvlJc w:val="left"/>
      <w:pPr>
        <w:tabs>
          <w:tab w:val="num" w:pos="7200"/>
        </w:tabs>
        <w:ind w:left="0" w:firstLine="6480"/>
      </w:pPr>
      <w:rPr>
        <w:rFonts w:ascii="Times New Roman" w:hAnsi="Times New Roman"/>
        <w:b/>
        <w:i w:val="0"/>
        <w:caps w:val="0"/>
        <w:color w:val="auto"/>
        <w:sz w:val="24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removePersonalInformation/>
  <w:removeDateAndTime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IDAuthor" w:val="False"/>
    <w:docVar w:name="DocIDClientMatter" w:val="True"/>
    <w:docVar w:name="DocIDDate" w:val="False"/>
    <w:docVar w:name="DocIDLibrary" w:val="True"/>
    <w:docVar w:name="DocIDType" w:val="AllPages"/>
    <w:docVar w:name="DocIDTypist" w:val="False"/>
  </w:docVars>
  <w:rsids>
    <w:rsidRoot w:val="002464FE"/>
    <w:rsid w:val="00076A41"/>
    <w:rsid w:val="000B1BAD"/>
    <w:rsid w:val="000B5FA6"/>
    <w:rsid w:val="000C6583"/>
    <w:rsid w:val="000C6E01"/>
    <w:rsid w:val="000E24C3"/>
    <w:rsid w:val="000E3646"/>
    <w:rsid w:val="00106621"/>
    <w:rsid w:val="00135911"/>
    <w:rsid w:val="001440DC"/>
    <w:rsid w:val="001832D4"/>
    <w:rsid w:val="00186A51"/>
    <w:rsid w:val="001A06D9"/>
    <w:rsid w:val="001A2AAB"/>
    <w:rsid w:val="001B5206"/>
    <w:rsid w:val="001D549E"/>
    <w:rsid w:val="002025B9"/>
    <w:rsid w:val="00206E1D"/>
    <w:rsid w:val="002464FE"/>
    <w:rsid w:val="0025365B"/>
    <w:rsid w:val="00256C55"/>
    <w:rsid w:val="00275173"/>
    <w:rsid w:val="0029011E"/>
    <w:rsid w:val="0029598F"/>
    <w:rsid w:val="002A5401"/>
    <w:rsid w:val="002B41E1"/>
    <w:rsid w:val="002E48C2"/>
    <w:rsid w:val="002F0C4B"/>
    <w:rsid w:val="002F7414"/>
    <w:rsid w:val="003075AE"/>
    <w:rsid w:val="003221C3"/>
    <w:rsid w:val="0032577F"/>
    <w:rsid w:val="00346A41"/>
    <w:rsid w:val="0036574D"/>
    <w:rsid w:val="003A0377"/>
    <w:rsid w:val="003A30BC"/>
    <w:rsid w:val="003C1291"/>
    <w:rsid w:val="003C45C3"/>
    <w:rsid w:val="003E457F"/>
    <w:rsid w:val="00405C4D"/>
    <w:rsid w:val="00405D3C"/>
    <w:rsid w:val="00411959"/>
    <w:rsid w:val="004A461E"/>
    <w:rsid w:val="004B458A"/>
    <w:rsid w:val="004B556B"/>
    <w:rsid w:val="004C3F0F"/>
    <w:rsid w:val="004E43DB"/>
    <w:rsid w:val="004F1247"/>
    <w:rsid w:val="004F2748"/>
    <w:rsid w:val="004F3A37"/>
    <w:rsid w:val="004F552C"/>
    <w:rsid w:val="00522BC5"/>
    <w:rsid w:val="005303F4"/>
    <w:rsid w:val="005313C0"/>
    <w:rsid w:val="0053305B"/>
    <w:rsid w:val="00556DC0"/>
    <w:rsid w:val="00565D1B"/>
    <w:rsid w:val="0057158B"/>
    <w:rsid w:val="005925E1"/>
    <w:rsid w:val="005D190B"/>
    <w:rsid w:val="005E156E"/>
    <w:rsid w:val="00603CC0"/>
    <w:rsid w:val="00615A4F"/>
    <w:rsid w:val="00620F93"/>
    <w:rsid w:val="00642273"/>
    <w:rsid w:val="00647EA9"/>
    <w:rsid w:val="00656996"/>
    <w:rsid w:val="00663E3C"/>
    <w:rsid w:val="006A064A"/>
    <w:rsid w:val="00703A30"/>
    <w:rsid w:val="007060CF"/>
    <w:rsid w:val="007202B7"/>
    <w:rsid w:val="007536DB"/>
    <w:rsid w:val="00754D0C"/>
    <w:rsid w:val="007A2862"/>
    <w:rsid w:val="007B588A"/>
    <w:rsid w:val="007B6914"/>
    <w:rsid w:val="007B6B4B"/>
    <w:rsid w:val="007C0B94"/>
    <w:rsid w:val="007C7638"/>
    <w:rsid w:val="007E6FFE"/>
    <w:rsid w:val="00805F10"/>
    <w:rsid w:val="008407F8"/>
    <w:rsid w:val="0084660F"/>
    <w:rsid w:val="00863181"/>
    <w:rsid w:val="00864364"/>
    <w:rsid w:val="00873973"/>
    <w:rsid w:val="00880A65"/>
    <w:rsid w:val="00897B72"/>
    <w:rsid w:val="008A6A29"/>
    <w:rsid w:val="008C7500"/>
    <w:rsid w:val="008D6C37"/>
    <w:rsid w:val="008E3E12"/>
    <w:rsid w:val="008E60FA"/>
    <w:rsid w:val="00907425"/>
    <w:rsid w:val="009316EC"/>
    <w:rsid w:val="009544F6"/>
    <w:rsid w:val="009552D9"/>
    <w:rsid w:val="00977BB2"/>
    <w:rsid w:val="00983F88"/>
    <w:rsid w:val="00994881"/>
    <w:rsid w:val="00994DD4"/>
    <w:rsid w:val="009A28EF"/>
    <w:rsid w:val="009B0B3A"/>
    <w:rsid w:val="009F62FF"/>
    <w:rsid w:val="00A34174"/>
    <w:rsid w:val="00A434F4"/>
    <w:rsid w:val="00A61AD9"/>
    <w:rsid w:val="00A96DCE"/>
    <w:rsid w:val="00AA4443"/>
    <w:rsid w:val="00AA48A6"/>
    <w:rsid w:val="00AA77E7"/>
    <w:rsid w:val="00AA78DC"/>
    <w:rsid w:val="00AB12B1"/>
    <w:rsid w:val="00AB13ED"/>
    <w:rsid w:val="00AD471A"/>
    <w:rsid w:val="00AE21A6"/>
    <w:rsid w:val="00AE3EC0"/>
    <w:rsid w:val="00AE741F"/>
    <w:rsid w:val="00B037BF"/>
    <w:rsid w:val="00B21136"/>
    <w:rsid w:val="00B262A6"/>
    <w:rsid w:val="00B46CFE"/>
    <w:rsid w:val="00B53820"/>
    <w:rsid w:val="00B70B9D"/>
    <w:rsid w:val="00B92D01"/>
    <w:rsid w:val="00BA35AB"/>
    <w:rsid w:val="00BE5449"/>
    <w:rsid w:val="00BE71FB"/>
    <w:rsid w:val="00BF23DD"/>
    <w:rsid w:val="00C01F2F"/>
    <w:rsid w:val="00C143ED"/>
    <w:rsid w:val="00C717C4"/>
    <w:rsid w:val="00CA3E9D"/>
    <w:rsid w:val="00CA61AA"/>
    <w:rsid w:val="00CB5514"/>
    <w:rsid w:val="00CB7527"/>
    <w:rsid w:val="00CF5933"/>
    <w:rsid w:val="00CF5BA8"/>
    <w:rsid w:val="00D017A5"/>
    <w:rsid w:val="00D038E3"/>
    <w:rsid w:val="00D04087"/>
    <w:rsid w:val="00D154CA"/>
    <w:rsid w:val="00D16A1A"/>
    <w:rsid w:val="00D30E69"/>
    <w:rsid w:val="00D32EF0"/>
    <w:rsid w:val="00D52E1C"/>
    <w:rsid w:val="00D56FE1"/>
    <w:rsid w:val="00D72672"/>
    <w:rsid w:val="00D73321"/>
    <w:rsid w:val="00D75453"/>
    <w:rsid w:val="00D93733"/>
    <w:rsid w:val="00DC3F79"/>
    <w:rsid w:val="00DD6CA7"/>
    <w:rsid w:val="00E002AC"/>
    <w:rsid w:val="00E1397B"/>
    <w:rsid w:val="00E16692"/>
    <w:rsid w:val="00E2088A"/>
    <w:rsid w:val="00E21D0C"/>
    <w:rsid w:val="00E72DBF"/>
    <w:rsid w:val="00E83AFF"/>
    <w:rsid w:val="00E85815"/>
    <w:rsid w:val="00E9213A"/>
    <w:rsid w:val="00ED2199"/>
    <w:rsid w:val="00ED6144"/>
    <w:rsid w:val="00EE433C"/>
    <w:rsid w:val="00EF1DDA"/>
    <w:rsid w:val="00F024DE"/>
    <w:rsid w:val="00F26C9D"/>
    <w:rsid w:val="00F44E36"/>
    <w:rsid w:val="00F639CE"/>
    <w:rsid w:val="00F90963"/>
    <w:rsid w:val="00F958FB"/>
    <w:rsid w:val="00FA162D"/>
    <w:rsid w:val="00FB145E"/>
    <w:rsid w:val="00FC4057"/>
    <w:rsid w:val="00FC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B56DB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</w:rPr>
  </w:style>
  <w:style w:type="paragraph" w:styleId="Heading1">
    <w:name w:val="heading 1"/>
    <w:basedOn w:val="Normal"/>
    <w:qFormat/>
    <w:pPr>
      <w:numPr>
        <w:numId w:val="1"/>
      </w:numPr>
      <w:spacing w:after="240"/>
      <w:outlineLvl w:val="0"/>
    </w:pPr>
  </w:style>
  <w:style w:type="paragraph" w:styleId="Heading2">
    <w:name w:val="heading 2"/>
    <w:basedOn w:val="Normal"/>
    <w:qFormat/>
    <w:pPr>
      <w:numPr>
        <w:ilvl w:val="1"/>
        <w:numId w:val="1"/>
      </w:numPr>
      <w:spacing w:after="240"/>
      <w:ind w:firstLine="1440"/>
      <w:jc w:val="both"/>
      <w:outlineLvl w:val="1"/>
    </w:pPr>
  </w:style>
  <w:style w:type="paragraph" w:styleId="Heading3">
    <w:name w:val="heading 3"/>
    <w:basedOn w:val="Normal"/>
    <w:qFormat/>
    <w:pPr>
      <w:numPr>
        <w:ilvl w:val="2"/>
        <w:numId w:val="1"/>
      </w:numPr>
      <w:spacing w:after="240"/>
      <w:ind w:firstLine="2160"/>
      <w:jc w:val="both"/>
      <w:outlineLvl w:val="2"/>
    </w:pPr>
  </w:style>
  <w:style w:type="paragraph" w:styleId="Heading4">
    <w:name w:val="heading 4"/>
    <w:basedOn w:val="Normal"/>
    <w:qFormat/>
    <w:pPr>
      <w:numPr>
        <w:ilvl w:val="3"/>
        <w:numId w:val="1"/>
      </w:numPr>
      <w:spacing w:after="240"/>
      <w:ind w:firstLine="2880"/>
      <w:jc w:val="both"/>
      <w:outlineLvl w:val="3"/>
    </w:pPr>
  </w:style>
  <w:style w:type="paragraph" w:styleId="Heading5">
    <w:name w:val="heading 5"/>
    <w:basedOn w:val="Normal"/>
    <w:qFormat/>
    <w:pPr>
      <w:numPr>
        <w:ilvl w:val="4"/>
        <w:numId w:val="1"/>
      </w:numPr>
      <w:spacing w:after="240"/>
      <w:ind w:firstLine="3600"/>
      <w:jc w:val="both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240"/>
      <w:ind w:firstLine="432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680"/>
      </w:tabs>
    </w:pPr>
    <w:rPr>
      <w:sz w:val="16"/>
    </w:rPr>
  </w:style>
  <w:style w:type="paragraph" w:customStyle="1" w:styleId="COMMENT">
    <w:name w:val="COMMENT"/>
    <w:basedOn w:val="Bod"/>
    <w:pPr>
      <w:ind w:left="720" w:right="720" w:firstLine="0"/>
    </w:pPr>
    <w:rPr>
      <w:i/>
    </w:rPr>
  </w:style>
  <w:style w:type="character" w:styleId="PageNumber">
    <w:name w:val="page number"/>
    <w:rPr>
      <w:rFonts w:ascii="Times New Roman" w:hAnsi="Times New Roman"/>
      <w:spacing w:val="0"/>
      <w:kern w:val="0"/>
      <w:position w:val="0"/>
      <w:sz w:val="24"/>
      <w:vertAlign w:val="baseline"/>
    </w:rPr>
  </w:style>
  <w:style w:type="paragraph" w:customStyle="1" w:styleId="Head">
    <w:name w:val="Head"/>
    <w:basedOn w:val="Normal"/>
    <w:next w:val="Normal"/>
    <w:pPr>
      <w:keepNext/>
      <w:spacing w:after="240"/>
    </w:pPr>
    <w:rPr>
      <w:b/>
    </w:rPr>
  </w:style>
  <w:style w:type="paragraph" w:customStyle="1" w:styleId="Bod">
    <w:name w:val="Bod"/>
    <w:basedOn w:val="Normal"/>
    <w:pPr>
      <w:spacing w:after="240"/>
      <w:ind w:firstLine="1440"/>
      <w:jc w:val="both"/>
    </w:pPr>
  </w:style>
  <w:style w:type="paragraph" w:styleId="Title">
    <w:name w:val="Title"/>
    <w:basedOn w:val="Normal"/>
    <w:qFormat/>
    <w:pPr>
      <w:spacing w:after="600"/>
      <w:jc w:val="center"/>
    </w:pPr>
    <w:rPr>
      <w:b/>
    </w:rPr>
  </w:style>
  <w:style w:type="paragraph" w:styleId="FootnoteText">
    <w:name w:val="footnote text"/>
    <w:aliases w:val="fn,Footnote Text Char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ltaViewTableHeading">
    <w:name w:val="DeltaView Table Heading"/>
    <w:basedOn w:val="Normal"/>
    <w:rsid w:val="007C0B94"/>
    <w:pPr>
      <w:suppressAutoHyphens w:val="0"/>
      <w:autoSpaceDE w:val="0"/>
      <w:autoSpaceDN w:val="0"/>
      <w:adjustRightInd w:val="0"/>
      <w:spacing w:after="120"/>
    </w:pPr>
    <w:rPr>
      <w:rFonts w:ascii="Arial" w:hAnsi="Arial" w:cs="Arial"/>
      <w:b/>
      <w:bCs/>
      <w:szCs w:val="24"/>
    </w:rPr>
  </w:style>
  <w:style w:type="paragraph" w:customStyle="1" w:styleId="DeltaViewTableBody">
    <w:name w:val="DeltaView Table Body"/>
    <w:basedOn w:val="Normal"/>
    <w:rsid w:val="007C0B94"/>
    <w:pPr>
      <w:suppressAutoHyphens w:val="0"/>
      <w:autoSpaceDE w:val="0"/>
      <w:autoSpaceDN w:val="0"/>
      <w:adjustRightInd w:val="0"/>
    </w:pPr>
    <w:rPr>
      <w:rFonts w:ascii="Arial" w:hAnsi="Arial" w:cs="Arial"/>
      <w:szCs w:val="24"/>
    </w:rPr>
  </w:style>
  <w:style w:type="character" w:customStyle="1" w:styleId="DeltaViewInsertion">
    <w:name w:val="DeltaView Insertion"/>
    <w:rsid w:val="007C0B94"/>
    <w:rPr>
      <w:color w:val="0000FF"/>
      <w:spacing w:val="0"/>
      <w:u w:val="double"/>
    </w:rPr>
  </w:style>
  <w:style w:type="character" w:customStyle="1" w:styleId="DeltaViewDeletion">
    <w:name w:val="DeltaView Deletion"/>
    <w:rsid w:val="007C0B94"/>
    <w:rPr>
      <w:strike/>
      <w:color w:val="FF0000"/>
      <w:spacing w:val="0"/>
    </w:rPr>
  </w:style>
  <w:style w:type="character" w:customStyle="1" w:styleId="DeltaViewMoveSource">
    <w:name w:val="DeltaView Move Source"/>
    <w:rsid w:val="007C0B94"/>
    <w:rPr>
      <w:strike/>
      <w:color w:val="00C000"/>
      <w:spacing w:val="0"/>
    </w:rPr>
  </w:style>
  <w:style w:type="character" w:customStyle="1" w:styleId="DeltaViewMoveDestination">
    <w:name w:val="DeltaView Move Destination"/>
    <w:rsid w:val="007C0B94"/>
    <w:rPr>
      <w:color w:val="00C000"/>
      <w:spacing w:val="0"/>
      <w:u w:val="double"/>
    </w:rPr>
  </w:style>
  <w:style w:type="character" w:customStyle="1" w:styleId="DeltaViewFormatChange">
    <w:name w:val="DeltaView Format Change"/>
    <w:rsid w:val="007C0B94"/>
    <w:rPr>
      <w:color w:val="000000"/>
      <w:spacing w:val="0"/>
    </w:rPr>
  </w:style>
  <w:style w:type="character" w:customStyle="1" w:styleId="DeltaViewMovedDeletion">
    <w:name w:val="DeltaView Moved Deletion"/>
    <w:rsid w:val="007C0B94"/>
    <w:rPr>
      <w:strike/>
      <w:color w:val="C08080"/>
      <w:spacing w:val="0"/>
    </w:rPr>
  </w:style>
  <w:style w:type="character" w:customStyle="1" w:styleId="DeltaViewStyleChangeLabel">
    <w:name w:val="DeltaView Style Change Label"/>
    <w:rsid w:val="007C0B94"/>
    <w:rPr>
      <w:color w:val="000000"/>
      <w:spacing w:val="0"/>
    </w:rPr>
  </w:style>
  <w:style w:type="paragraph" w:customStyle="1" w:styleId="TableText">
    <w:name w:val="Table Text"/>
    <w:basedOn w:val="Normal"/>
    <w:rsid w:val="000E24C3"/>
    <w:pPr>
      <w:tabs>
        <w:tab w:val="left" w:pos="432"/>
      </w:tabs>
      <w:autoSpaceDE w:val="0"/>
      <w:autoSpaceDN w:val="0"/>
      <w:adjustRightInd w:val="0"/>
      <w:spacing w:after="240"/>
    </w:pPr>
    <w:rPr>
      <w:szCs w:val="24"/>
    </w:rPr>
  </w:style>
  <w:style w:type="paragraph" w:customStyle="1" w:styleId="TableItalics">
    <w:name w:val="Table Italics"/>
    <w:basedOn w:val="TableText"/>
    <w:rsid w:val="000E24C3"/>
    <w:rPr>
      <w:i/>
      <w:iCs/>
    </w:rPr>
  </w:style>
  <w:style w:type="character" w:styleId="CommentReference">
    <w:name w:val="annotation reference"/>
    <w:rsid w:val="00D16A1A"/>
    <w:rPr>
      <w:sz w:val="16"/>
      <w:szCs w:val="16"/>
    </w:rPr>
  </w:style>
  <w:style w:type="paragraph" w:customStyle="1" w:styleId="Legal2IndeL1">
    <w:name w:val="Legal2Inde_L1"/>
    <w:basedOn w:val="Normal"/>
    <w:next w:val="BodyText"/>
    <w:rsid w:val="00BA35AB"/>
    <w:pPr>
      <w:numPr>
        <w:numId w:val="2"/>
      </w:numPr>
      <w:suppressAutoHyphens w:val="0"/>
      <w:spacing w:after="240"/>
      <w:jc w:val="both"/>
      <w:outlineLvl w:val="0"/>
    </w:pPr>
  </w:style>
  <w:style w:type="paragraph" w:customStyle="1" w:styleId="Legal2IndeL2">
    <w:name w:val="Legal2Inde_L2"/>
    <w:basedOn w:val="Legal2IndeL1"/>
    <w:next w:val="BodyText"/>
    <w:rsid w:val="00BA35AB"/>
    <w:pPr>
      <w:numPr>
        <w:ilvl w:val="1"/>
      </w:numPr>
      <w:outlineLvl w:val="1"/>
    </w:pPr>
  </w:style>
  <w:style w:type="paragraph" w:customStyle="1" w:styleId="Legal2IndeL3">
    <w:name w:val="Legal2Inde_L3"/>
    <w:basedOn w:val="Legal2IndeL2"/>
    <w:next w:val="BodyText"/>
    <w:link w:val="Legal2IndeL3Char"/>
    <w:rsid w:val="00BA35AB"/>
    <w:pPr>
      <w:numPr>
        <w:ilvl w:val="2"/>
      </w:numPr>
      <w:outlineLvl w:val="2"/>
    </w:pPr>
  </w:style>
  <w:style w:type="paragraph" w:customStyle="1" w:styleId="Legal2IndeL4">
    <w:name w:val="Legal2Inde_L4"/>
    <w:basedOn w:val="Legal2IndeL3"/>
    <w:next w:val="BodyText"/>
    <w:rsid w:val="00BA35AB"/>
    <w:pPr>
      <w:numPr>
        <w:ilvl w:val="3"/>
      </w:numPr>
      <w:tabs>
        <w:tab w:val="clear" w:pos="3600"/>
        <w:tab w:val="num" w:pos="360"/>
      </w:tabs>
      <w:outlineLvl w:val="3"/>
    </w:pPr>
  </w:style>
  <w:style w:type="paragraph" w:customStyle="1" w:styleId="Legal2IndeL5">
    <w:name w:val="Legal2Inde_L5"/>
    <w:basedOn w:val="Legal2IndeL4"/>
    <w:next w:val="BodyText"/>
    <w:rsid w:val="00BA35AB"/>
    <w:pPr>
      <w:numPr>
        <w:ilvl w:val="4"/>
      </w:numPr>
      <w:tabs>
        <w:tab w:val="clear" w:pos="4320"/>
        <w:tab w:val="num" w:pos="360"/>
      </w:tabs>
      <w:jc w:val="left"/>
      <w:outlineLvl w:val="4"/>
    </w:pPr>
  </w:style>
  <w:style w:type="paragraph" w:customStyle="1" w:styleId="Legal2IndeL6">
    <w:name w:val="Legal2Inde_L6"/>
    <w:basedOn w:val="Legal2IndeL5"/>
    <w:next w:val="BodyText"/>
    <w:rsid w:val="00BA35AB"/>
    <w:pPr>
      <w:numPr>
        <w:ilvl w:val="5"/>
      </w:numPr>
      <w:tabs>
        <w:tab w:val="clear" w:pos="5040"/>
        <w:tab w:val="num" w:pos="360"/>
      </w:tabs>
      <w:outlineLvl w:val="5"/>
    </w:pPr>
  </w:style>
  <w:style w:type="paragraph" w:customStyle="1" w:styleId="Legal2IndeL7">
    <w:name w:val="Legal2Inde_L7"/>
    <w:basedOn w:val="Legal2IndeL6"/>
    <w:next w:val="BodyText"/>
    <w:rsid w:val="00BA35AB"/>
    <w:pPr>
      <w:numPr>
        <w:ilvl w:val="6"/>
      </w:numPr>
      <w:tabs>
        <w:tab w:val="clear" w:pos="5760"/>
        <w:tab w:val="num" w:pos="360"/>
      </w:tabs>
      <w:outlineLvl w:val="6"/>
    </w:pPr>
  </w:style>
  <w:style w:type="paragraph" w:customStyle="1" w:styleId="Legal2IndeL8">
    <w:name w:val="Legal2Inde_L8"/>
    <w:basedOn w:val="Legal2IndeL7"/>
    <w:next w:val="BodyText"/>
    <w:rsid w:val="00BA35AB"/>
    <w:pPr>
      <w:numPr>
        <w:ilvl w:val="7"/>
      </w:numPr>
      <w:tabs>
        <w:tab w:val="clear" w:pos="6480"/>
        <w:tab w:val="num" w:pos="360"/>
      </w:tabs>
      <w:outlineLvl w:val="7"/>
    </w:pPr>
  </w:style>
  <w:style w:type="paragraph" w:customStyle="1" w:styleId="Legal2IndeL9">
    <w:name w:val="Legal2Inde_L9"/>
    <w:basedOn w:val="Legal2IndeL8"/>
    <w:next w:val="BodyText"/>
    <w:rsid w:val="00BA35AB"/>
    <w:pPr>
      <w:numPr>
        <w:ilvl w:val="8"/>
      </w:numPr>
      <w:tabs>
        <w:tab w:val="clear" w:pos="7200"/>
        <w:tab w:val="num" w:pos="360"/>
      </w:tabs>
      <w:outlineLvl w:val="8"/>
    </w:pPr>
  </w:style>
  <w:style w:type="character" w:customStyle="1" w:styleId="Legal2IndeL3Char">
    <w:name w:val="Legal2Inde_L3 Char"/>
    <w:link w:val="Legal2IndeL3"/>
    <w:rsid w:val="00BA35AB"/>
    <w:rPr>
      <w:sz w:val="24"/>
      <w:lang w:val="en-US" w:eastAsia="en-US" w:bidi="ar-SA"/>
    </w:rPr>
  </w:style>
  <w:style w:type="paragraph" w:styleId="BodyText">
    <w:name w:val="Body Text"/>
    <w:basedOn w:val="Normal"/>
    <w:link w:val="BodyTextChar"/>
    <w:rsid w:val="00BA35AB"/>
    <w:pPr>
      <w:spacing w:after="120"/>
    </w:pPr>
  </w:style>
  <w:style w:type="character" w:styleId="Hyperlink">
    <w:name w:val="Hyperlink"/>
    <w:rsid w:val="008D6C37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D16A1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16A1A"/>
  </w:style>
  <w:style w:type="paragraph" w:styleId="CommentSubject">
    <w:name w:val="annotation subject"/>
    <w:basedOn w:val="CommentText"/>
    <w:next w:val="CommentText"/>
    <w:link w:val="CommentSubjectChar"/>
    <w:rsid w:val="00D16A1A"/>
    <w:rPr>
      <w:b/>
      <w:bCs/>
    </w:rPr>
  </w:style>
  <w:style w:type="character" w:customStyle="1" w:styleId="CommentSubjectChar">
    <w:name w:val="Comment Subject Char"/>
    <w:link w:val="CommentSubject"/>
    <w:rsid w:val="00D16A1A"/>
    <w:rPr>
      <w:b/>
      <w:bCs/>
    </w:rPr>
  </w:style>
  <w:style w:type="paragraph" w:styleId="BalloonText">
    <w:name w:val="Balloon Text"/>
    <w:basedOn w:val="Normal"/>
    <w:link w:val="BalloonTextChar"/>
    <w:rsid w:val="00D16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16A1A"/>
    <w:rPr>
      <w:rFonts w:ascii="Tahoma" w:hAnsi="Tahoma" w:cs="Tahoma"/>
      <w:sz w:val="16"/>
      <w:szCs w:val="16"/>
    </w:rPr>
  </w:style>
  <w:style w:type="character" w:customStyle="1" w:styleId="DocID">
    <w:name w:val="DocID"/>
    <w:rsid w:val="00663E3C"/>
    <w:rPr>
      <w:rFonts w:ascii="Times New Roman" w:hAnsi="Times New Roman" w:cs="Times New Roman"/>
      <w:b w:val="0"/>
      <w:i w:val="0"/>
      <w:caps w:val="0"/>
      <w:vanish w:val="0"/>
      <w:color w:val="000000"/>
      <w:sz w:val="16"/>
      <w:szCs w:val="22"/>
      <w:u w:val="none"/>
    </w:rPr>
  </w:style>
  <w:style w:type="character" w:customStyle="1" w:styleId="BodyTextChar">
    <w:name w:val="Body Text Char"/>
    <w:basedOn w:val="DefaultParagraphFont"/>
    <w:link w:val="BodyText"/>
    <w:rsid w:val="00D038E3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</w:rPr>
  </w:style>
  <w:style w:type="paragraph" w:styleId="Heading1">
    <w:name w:val="heading 1"/>
    <w:basedOn w:val="Normal"/>
    <w:qFormat/>
    <w:pPr>
      <w:numPr>
        <w:numId w:val="1"/>
      </w:numPr>
      <w:spacing w:after="240"/>
      <w:outlineLvl w:val="0"/>
    </w:pPr>
  </w:style>
  <w:style w:type="paragraph" w:styleId="Heading2">
    <w:name w:val="heading 2"/>
    <w:basedOn w:val="Normal"/>
    <w:qFormat/>
    <w:pPr>
      <w:numPr>
        <w:ilvl w:val="1"/>
        <w:numId w:val="1"/>
      </w:numPr>
      <w:spacing w:after="240"/>
      <w:ind w:firstLine="1440"/>
      <w:jc w:val="both"/>
      <w:outlineLvl w:val="1"/>
    </w:pPr>
  </w:style>
  <w:style w:type="paragraph" w:styleId="Heading3">
    <w:name w:val="heading 3"/>
    <w:basedOn w:val="Normal"/>
    <w:qFormat/>
    <w:pPr>
      <w:numPr>
        <w:ilvl w:val="2"/>
        <w:numId w:val="1"/>
      </w:numPr>
      <w:spacing w:after="240"/>
      <w:ind w:firstLine="2160"/>
      <w:jc w:val="both"/>
      <w:outlineLvl w:val="2"/>
    </w:pPr>
  </w:style>
  <w:style w:type="paragraph" w:styleId="Heading4">
    <w:name w:val="heading 4"/>
    <w:basedOn w:val="Normal"/>
    <w:qFormat/>
    <w:pPr>
      <w:numPr>
        <w:ilvl w:val="3"/>
        <w:numId w:val="1"/>
      </w:numPr>
      <w:spacing w:after="240"/>
      <w:ind w:firstLine="2880"/>
      <w:jc w:val="both"/>
      <w:outlineLvl w:val="3"/>
    </w:pPr>
  </w:style>
  <w:style w:type="paragraph" w:styleId="Heading5">
    <w:name w:val="heading 5"/>
    <w:basedOn w:val="Normal"/>
    <w:qFormat/>
    <w:pPr>
      <w:numPr>
        <w:ilvl w:val="4"/>
        <w:numId w:val="1"/>
      </w:numPr>
      <w:spacing w:after="240"/>
      <w:ind w:firstLine="3600"/>
      <w:jc w:val="both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after="240"/>
      <w:ind w:firstLine="432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680"/>
      </w:tabs>
    </w:pPr>
    <w:rPr>
      <w:sz w:val="16"/>
    </w:rPr>
  </w:style>
  <w:style w:type="paragraph" w:customStyle="1" w:styleId="COMMENT">
    <w:name w:val="COMMENT"/>
    <w:basedOn w:val="Bod"/>
    <w:pPr>
      <w:ind w:left="720" w:right="720" w:firstLine="0"/>
    </w:pPr>
    <w:rPr>
      <w:i/>
    </w:rPr>
  </w:style>
  <w:style w:type="character" w:styleId="PageNumber">
    <w:name w:val="page number"/>
    <w:rPr>
      <w:rFonts w:ascii="Times New Roman" w:hAnsi="Times New Roman"/>
      <w:spacing w:val="0"/>
      <w:kern w:val="0"/>
      <w:position w:val="0"/>
      <w:sz w:val="24"/>
      <w:vertAlign w:val="baseline"/>
    </w:rPr>
  </w:style>
  <w:style w:type="paragraph" w:customStyle="1" w:styleId="Head">
    <w:name w:val="Head"/>
    <w:basedOn w:val="Normal"/>
    <w:next w:val="Normal"/>
    <w:pPr>
      <w:keepNext/>
      <w:spacing w:after="240"/>
    </w:pPr>
    <w:rPr>
      <w:b/>
    </w:rPr>
  </w:style>
  <w:style w:type="paragraph" w:customStyle="1" w:styleId="Bod">
    <w:name w:val="Bod"/>
    <w:basedOn w:val="Normal"/>
    <w:pPr>
      <w:spacing w:after="240"/>
      <w:ind w:firstLine="1440"/>
      <w:jc w:val="both"/>
    </w:pPr>
  </w:style>
  <w:style w:type="paragraph" w:styleId="Title">
    <w:name w:val="Title"/>
    <w:basedOn w:val="Normal"/>
    <w:qFormat/>
    <w:pPr>
      <w:spacing w:after="600"/>
      <w:jc w:val="center"/>
    </w:pPr>
    <w:rPr>
      <w:b/>
    </w:rPr>
  </w:style>
  <w:style w:type="paragraph" w:styleId="FootnoteText">
    <w:name w:val="footnote text"/>
    <w:aliases w:val="fn,Footnote Text Char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ltaViewTableHeading">
    <w:name w:val="DeltaView Table Heading"/>
    <w:basedOn w:val="Normal"/>
    <w:rsid w:val="007C0B94"/>
    <w:pPr>
      <w:suppressAutoHyphens w:val="0"/>
      <w:autoSpaceDE w:val="0"/>
      <w:autoSpaceDN w:val="0"/>
      <w:adjustRightInd w:val="0"/>
      <w:spacing w:after="120"/>
    </w:pPr>
    <w:rPr>
      <w:rFonts w:ascii="Arial" w:hAnsi="Arial" w:cs="Arial"/>
      <w:b/>
      <w:bCs/>
      <w:szCs w:val="24"/>
    </w:rPr>
  </w:style>
  <w:style w:type="paragraph" w:customStyle="1" w:styleId="DeltaViewTableBody">
    <w:name w:val="DeltaView Table Body"/>
    <w:basedOn w:val="Normal"/>
    <w:rsid w:val="007C0B94"/>
    <w:pPr>
      <w:suppressAutoHyphens w:val="0"/>
      <w:autoSpaceDE w:val="0"/>
      <w:autoSpaceDN w:val="0"/>
      <w:adjustRightInd w:val="0"/>
    </w:pPr>
    <w:rPr>
      <w:rFonts w:ascii="Arial" w:hAnsi="Arial" w:cs="Arial"/>
      <w:szCs w:val="24"/>
    </w:rPr>
  </w:style>
  <w:style w:type="character" w:customStyle="1" w:styleId="DeltaViewInsertion">
    <w:name w:val="DeltaView Insertion"/>
    <w:rsid w:val="007C0B94"/>
    <w:rPr>
      <w:color w:val="0000FF"/>
      <w:spacing w:val="0"/>
      <w:u w:val="double"/>
    </w:rPr>
  </w:style>
  <w:style w:type="character" w:customStyle="1" w:styleId="DeltaViewDeletion">
    <w:name w:val="DeltaView Deletion"/>
    <w:rsid w:val="007C0B94"/>
    <w:rPr>
      <w:strike/>
      <w:color w:val="FF0000"/>
      <w:spacing w:val="0"/>
    </w:rPr>
  </w:style>
  <w:style w:type="character" w:customStyle="1" w:styleId="DeltaViewMoveSource">
    <w:name w:val="DeltaView Move Source"/>
    <w:rsid w:val="007C0B94"/>
    <w:rPr>
      <w:strike/>
      <w:color w:val="00C000"/>
      <w:spacing w:val="0"/>
    </w:rPr>
  </w:style>
  <w:style w:type="character" w:customStyle="1" w:styleId="DeltaViewMoveDestination">
    <w:name w:val="DeltaView Move Destination"/>
    <w:rsid w:val="007C0B94"/>
    <w:rPr>
      <w:color w:val="00C000"/>
      <w:spacing w:val="0"/>
      <w:u w:val="double"/>
    </w:rPr>
  </w:style>
  <w:style w:type="character" w:customStyle="1" w:styleId="DeltaViewFormatChange">
    <w:name w:val="DeltaView Format Change"/>
    <w:rsid w:val="007C0B94"/>
    <w:rPr>
      <w:color w:val="000000"/>
      <w:spacing w:val="0"/>
    </w:rPr>
  </w:style>
  <w:style w:type="character" w:customStyle="1" w:styleId="DeltaViewMovedDeletion">
    <w:name w:val="DeltaView Moved Deletion"/>
    <w:rsid w:val="007C0B94"/>
    <w:rPr>
      <w:strike/>
      <w:color w:val="C08080"/>
      <w:spacing w:val="0"/>
    </w:rPr>
  </w:style>
  <w:style w:type="character" w:customStyle="1" w:styleId="DeltaViewStyleChangeLabel">
    <w:name w:val="DeltaView Style Change Label"/>
    <w:rsid w:val="007C0B94"/>
    <w:rPr>
      <w:color w:val="000000"/>
      <w:spacing w:val="0"/>
    </w:rPr>
  </w:style>
  <w:style w:type="paragraph" w:customStyle="1" w:styleId="TableText">
    <w:name w:val="Table Text"/>
    <w:basedOn w:val="Normal"/>
    <w:rsid w:val="000E24C3"/>
    <w:pPr>
      <w:tabs>
        <w:tab w:val="left" w:pos="432"/>
      </w:tabs>
      <w:autoSpaceDE w:val="0"/>
      <w:autoSpaceDN w:val="0"/>
      <w:adjustRightInd w:val="0"/>
      <w:spacing w:after="240"/>
    </w:pPr>
    <w:rPr>
      <w:szCs w:val="24"/>
    </w:rPr>
  </w:style>
  <w:style w:type="paragraph" w:customStyle="1" w:styleId="TableItalics">
    <w:name w:val="Table Italics"/>
    <w:basedOn w:val="TableText"/>
    <w:rsid w:val="000E24C3"/>
    <w:rPr>
      <w:i/>
      <w:iCs/>
    </w:rPr>
  </w:style>
  <w:style w:type="character" w:styleId="CommentReference">
    <w:name w:val="annotation reference"/>
    <w:rsid w:val="00D16A1A"/>
    <w:rPr>
      <w:sz w:val="16"/>
      <w:szCs w:val="16"/>
    </w:rPr>
  </w:style>
  <w:style w:type="paragraph" w:customStyle="1" w:styleId="Legal2IndeL1">
    <w:name w:val="Legal2Inde_L1"/>
    <w:basedOn w:val="Normal"/>
    <w:next w:val="BodyText"/>
    <w:rsid w:val="00BA35AB"/>
    <w:pPr>
      <w:numPr>
        <w:numId w:val="2"/>
      </w:numPr>
      <w:suppressAutoHyphens w:val="0"/>
      <w:spacing w:after="240"/>
      <w:jc w:val="both"/>
      <w:outlineLvl w:val="0"/>
    </w:pPr>
  </w:style>
  <w:style w:type="paragraph" w:customStyle="1" w:styleId="Legal2IndeL2">
    <w:name w:val="Legal2Inde_L2"/>
    <w:basedOn w:val="Legal2IndeL1"/>
    <w:next w:val="BodyText"/>
    <w:rsid w:val="00BA35AB"/>
    <w:pPr>
      <w:numPr>
        <w:ilvl w:val="1"/>
      </w:numPr>
      <w:outlineLvl w:val="1"/>
    </w:pPr>
  </w:style>
  <w:style w:type="paragraph" w:customStyle="1" w:styleId="Legal2IndeL3">
    <w:name w:val="Legal2Inde_L3"/>
    <w:basedOn w:val="Legal2IndeL2"/>
    <w:next w:val="BodyText"/>
    <w:link w:val="Legal2IndeL3Char"/>
    <w:rsid w:val="00BA35AB"/>
    <w:pPr>
      <w:numPr>
        <w:ilvl w:val="2"/>
      </w:numPr>
      <w:outlineLvl w:val="2"/>
    </w:pPr>
  </w:style>
  <w:style w:type="paragraph" w:customStyle="1" w:styleId="Legal2IndeL4">
    <w:name w:val="Legal2Inde_L4"/>
    <w:basedOn w:val="Legal2IndeL3"/>
    <w:next w:val="BodyText"/>
    <w:rsid w:val="00BA35AB"/>
    <w:pPr>
      <w:numPr>
        <w:ilvl w:val="3"/>
      </w:numPr>
      <w:tabs>
        <w:tab w:val="clear" w:pos="3600"/>
        <w:tab w:val="num" w:pos="360"/>
      </w:tabs>
      <w:outlineLvl w:val="3"/>
    </w:pPr>
  </w:style>
  <w:style w:type="paragraph" w:customStyle="1" w:styleId="Legal2IndeL5">
    <w:name w:val="Legal2Inde_L5"/>
    <w:basedOn w:val="Legal2IndeL4"/>
    <w:next w:val="BodyText"/>
    <w:rsid w:val="00BA35AB"/>
    <w:pPr>
      <w:numPr>
        <w:ilvl w:val="4"/>
      </w:numPr>
      <w:tabs>
        <w:tab w:val="clear" w:pos="4320"/>
        <w:tab w:val="num" w:pos="360"/>
      </w:tabs>
      <w:jc w:val="left"/>
      <w:outlineLvl w:val="4"/>
    </w:pPr>
  </w:style>
  <w:style w:type="paragraph" w:customStyle="1" w:styleId="Legal2IndeL6">
    <w:name w:val="Legal2Inde_L6"/>
    <w:basedOn w:val="Legal2IndeL5"/>
    <w:next w:val="BodyText"/>
    <w:rsid w:val="00BA35AB"/>
    <w:pPr>
      <w:numPr>
        <w:ilvl w:val="5"/>
      </w:numPr>
      <w:tabs>
        <w:tab w:val="clear" w:pos="5040"/>
        <w:tab w:val="num" w:pos="360"/>
      </w:tabs>
      <w:outlineLvl w:val="5"/>
    </w:pPr>
  </w:style>
  <w:style w:type="paragraph" w:customStyle="1" w:styleId="Legal2IndeL7">
    <w:name w:val="Legal2Inde_L7"/>
    <w:basedOn w:val="Legal2IndeL6"/>
    <w:next w:val="BodyText"/>
    <w:rsid w:val="00BA35AB"/>
    <w:pPr>
      <w:numPr>
        <w:ilvl w:val="6"/>
      </w:numPr>
      <w:tabs>
        <w:tab w:val="clear" w:pos="5760"/>
        <w:tab w:val="num" w:pos="360"/>
      </w:tabs>
      <w:outlineLvl w:val="6"/>
    </w:pPr>
  </w:style>
  <w:style w:type="paragraph" w:customStyle="1" w:styleId="Legal2IndeL8">
    <w:name w:val="Legal2Inde_L8"/>
    <w:basedOn w:val="Legal2IndeL7"/>
    <w:next w:val="BodyText"/>
    <w:rsid w:val="00BA35AB"/>
    <w:pPr>
      <w:numPr>
        <w:ilvl w:val="7"/>
      </w:numPr>
      <w:tabs>
        <w:tab w:val="clear" w:pos="6480"/>
        <w:tab w:val="num" w:pos="360"/>
      </w:tabs>
      <w:outlineLvl w:val="7"/>
    </w:pPr>
  </w:style>
  <w:style w:type="paragraph" w:customStyle="1" w:styleId="Legal2IndeL9">
    <w:name w:val="Legal2Inde_L9"/>
    <w:basedOn w:val="Legal2IndeL8"/>
    <w:next w:val="BodyText"/>
    <w:rsid w:val="00BA35AB"/>
    <w:pPr>
      <w:numPr>
        <w:ilvl w:val="8"/>
      </w:numPr>
      <w:tabs>
        <w:tab w:val="clear" w:pos="7200"/>
        <w:tab w:val="num" w:pos="360"/>
      </w:tabs>
      <w:outlineLvl w:val="8"/>
    </w:pPr>
  </w:style>
  <w:style w:type="character" w:customStyle="1" w:styleId="Legal2IndeL3Char">
    <w:name w:val="Legal2Inde_L3 Char"/>
    <w:link w:val="Legal2IndeL3"/>
    <w:rsid w:val="00BA35AB"/>
    <w:rPr>
      <w:sz w:val="24"/>
      <w:lang w:val="en-US" w:eastAsia="en-US" w:bidi="ar-SA"/>
    </w:rPr>
  </w:style>
  <w:style w:type="paragraph" w:styleId="BodyText">
    <w:name w:val="Body Text"/>
    <w:basedOn w:val="Normal"/>
    <w:link w:val="BodyTextChar"/>
    <w:rsid w:val="00BA35AB"/>
    <w:pPr>
      <w:spacing w:after="120"/>
    </w:pPr>
  </w:style>
  <w:style w:type="character" w:styleId="Hyperlink">
    <w:name w:val="Hyperlink"/>
    <w:rsid w:val="008D6C37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D16A1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16A1A"/>
  </w:style>
  <w:style w:type="paragraph" w:styleId="CommentSubject">
    <w:name w:val="annotation subject"/>
    <w:basedOn w:val="CommentText"/>
    <w:next w:val="CommentText"/>
    <w:link w:val="CommentSubjectChar"/>
    <w:rsid w:val="00D16A1A"/>
    <w:rPr>
      <w:b/>
      <w:bCs/>
    </w:rPr>
  </w:style>
  <w:style w:type="character" w:customStyle="1" w:styleId="CommentSubjectChar">
    <w:name w:val="Comment Subject Char"/>
    <w:link w:val="CommentSubject"/>
    <w:rsid w:val="00D16A1A"/>
    <w:rPr>
      <w:b/>
      <w:bCs/>
    </w:rPr>
  </w:style>
  <w:style w:type="paragraph" w:styleId="BalloonText">
    <w:name w:val="Balloon Text"/>
    <w:basedOn w:val="Normal"/>
    <w:link w:val="BalloonTextChar"/>
    <w:rsid w:val="00D16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16A1A"/>
    <w:rPr>
      <w:rFonts w:ascii="Tahoma" w:hAnsi="Tahoma" w:cs="Tahoma"/>
      <w:sz w:val="16"/>
      <w:szCs w:val="16"/>
    </w:rPr>
  </w:style>
  <w:style w:type="character" w:customStyle="1" w:styleId="DocID">
    <w:name w:val="DocID"/>
    <w:rsid w:val="00663E3C"/>
    <w:rPr>
      <w:rFonts w:ascii="Times New Roman" w:hAnsi="Times New Roman" w:cs="Times New Roman"/>
      <w:b w:val="0"/>
      <w:i w:val="0"/>
      <w:caps w:val="0"/>
      <w:vanish w:val="0"/>
      <w:color w:val="000000"/>
      <w:sz w:val="16"/>
      <w:szCs w:val="22"/>
      <w:u w:val="none"/>
    </w:rPr>
  </w:style>
  <w:style w:type="character" w:customStyle="1" w:styleId="BodyTextChar">
    <w:name w:val="Body Text Char"/>
    <w:basedOn w:val="DefaultParagraphFont"/>
    <w:link w:val="BodyText"/>
    <w:rsid w:val="00D038E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D8BE7C7-D293-CE4B-9EEA-1185125A3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3644</Characters>
  <Application>Microsoft Macintosh Word</Application>
  <DocSecurity>0</DocSecurity>
  <PresentationFormat/>
  <Lines>30</Lines>
  <Paragraphs>8</Paragraphs>
  <ScaleCrop>false</ScaleCrop>
  <Company/>
  <LinksUpToDate>false</LinksUpToDate>
  <CharactersWithSpaces>4275</CharactersWithSpaces>
  <SharedDoc>false</SharedDoc>
  <HLinks>
    <vt:vector size="6" baseType="variant">
      <vt:variant>
        <vt:i4>3604512</vt:i4>
      </vt:variant>
      <vt:variant>
        <vt:i4>0</vt:i4>
      </vt:variant>
      <vt:variant>
        <vt:i4>0</vt:i4>
      </vt:variant>
      <vt:variant>
        <vt:i4>5</vt:i4>
      </vt:variant>
      <vt:variant>
        <vt:lpwstr>http://www.seriesseed.com/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2015-09-25T01:18:00Z</dcterms:created>
  <dcterms:modified xsi:type="dcterms:W3CDTF">2016-02-11T15:28:00Z</dcterms:modified>
</cp:coreProperties>
</file>