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52"/>
          <w:szCs w:val="52"/>
        </w:rPr>
        <w:t xml:space="preserve">Patient Portal</w:t>
      </w:r>
    </w:p>
    <w:p>
      <w:pPr>
        <w:spacing w:after="200" w:before="0"/>
        <w:jc w:val="center"/>
      </w:pPr>
      <w:r>
        <w:rPr>
          <w:rFonts w:ascii="Arial" w:cs="Arial" w:eastAsia="Arial" w:hAnsi="Arial"/>
          <w:b/>
          <w:bCs/>
          <w:color w:val="0D6E8A"/>
          <w:sz w:val="52"/>
          <w:szCs w:val="52"/>
        </w:rPr>
        <w:t xml:space="preserve">Competitive Analysis</w:t>
      </w:r>
    </w:p>
    <w:p>
      <w:pPr>
        <w:pBdr>
          <w:bottom w:val="single" w:color="0D6E8A" w:sz="6" w:space="8"/>
        </w:pBdr>
        <w:spacing w:after="600" w:before="200"/>
        <w:jc w:val="center"/>
      </w:pPr>
      <w:r>
        <w:rPr>
          <w:rFonts w:ascii="Arial" w:cs="Arial" w:eastAsia="Arial" w:hAnsi="Arial"/>
          <w:i/>
          <w:iCs/>
          <w:color w:val="4A5568"/>
          <w:sz w:val="22"/>
          <w:szCs w:val="22"/>
        </w:rPr>
        <w:t xml:space="preserve">UX Patterns  •  Strengths  •  Opportunities</w:t>
      </w:r>
    </w:p>
    <w:p>
      <w:pPr>
        <w:spacing w:after="80" w:before="400"/>
        <w:jc w:val="center"/>
      </w:pPr>
      <w:r>
        <w:rPr>
          <w:rFonts w:ascii="Arial" w:cs="Arial" w:eastAsia="Arial" w:hAnsi="Arial"/>
          <w:color w:val="4A5568"/>
          <w:sz w:val="20"/>
          <w:szCs w:val="20"/>
        </w:rPr>
        <w:t xml:space="preserve">Prepared for:</w:t>
      </w:r>
    </w:p>
    <w:p>
      <w:pPr>
        <w:spacing w:after="80" w:before="0"/>
        <w:jc w:val="center"/>
      </w:pPr>
      <w:r>
        <w:rPr>
          <w:rFonts w:ascii="Arial" w:cs="Arial" w:eastAsia="Arial" w:hAnsi="Arial"/>
          <w:b/>
          <w:bCs/>
          <w:color w:val="1A3A5C"/>
          <w:sz w:val="22"/>
          <w:szCs w:val="22"/>
        </w:rPr>
        <w:t xml:space="preserve">Patient Portal Design Team</w:t>
      </w:r>
    </w:p>
    <w:p>
      <w:pPr>
        <w:spacing w:after="80" w:before="0"/>
        <w:jc w:val="center"/>
      </w:pPr>
      <w:r>
        <w:rPr>
          <w:rFonts w:ascii="Arial" w:cs="Arial" w:eastAsia="Arial" w:hAnsi="Arial"/>
          <w:color w:val="4A5568"/>
          <w:sz w:val="20"/>
          <w:szCs w:val="20"/>
        </w:rPr>
        <w:t xml:space="preserve">April 2026</w:t>
      </w:r>
    </w:p>
    <w:p>
      <w:pPr>
        <w:spacing w:after="0" w:before="6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0CDD8" w:sz="1"/>
              <w:left w:val="single" w:color="C0CDD8" w:sz="1"/>
              <w:bottom w:val="single" w:color="C0CDD8" w:sz="1"/>
              <w:right w:val="single" w:color="C0CDD8" w:sz="1"/>
            </w:tcBorders>
            <w:shd w:fill="E6F4F8" w:val="clear"/>
            <w:tcMar>
              <w:top w:type="dxa" w:w="100"/>
              <w:left w:type="dxa" w:w="80"/>
              <w:bottom w:type="dxa" w:w="100"/>
              <w:right w:type="dxa" w:w="80"/>
            </w:tcMar>
          </w:tcPr>
          <w:p>
            <w:pPr>
              <w:jc w:val="center"/>
            </w:pPr>
            <w:r>
              <w:rPr>
                <w:rFonts w:ascii="Arial" w:cs="Arial" w:eastAsia="Arial" w:hAnsi="Arial"/>
                <w:b/>
                <w:bCs/>
                <w:color w:val="1A3A5C"/>
                <w:sz w:val="17"/>
                <w:szCs w:val="17"/>
              </w:rPr>
              <w:t xml:space="preserve">Sutter Health</w:t>
            </w:r>
          </w:p>
        </w:tc>
        <w:tc>
          <w:tcPr>
            <w:tcW w:type="dxa" w:w="1944"/>
            <w:tcBorders>
              <w:top w:val="single" w:color="C0CDD8" w:sz="1"/>
              <w:left w:val="single" w:color="C0CDD8" w:sz="1"/>
              <w:bottom w:val="single" w:color="C0CDD8" w:sz="1"/>
              <w:right w:val="single" w:color="C0CDD8" w:sz="1"/>
            </w:tcBorders>
            <w:shd w:fill="E6F4F8" w:val="clear"/>
            <w:tcMar>
              <w:top w:type="dxa" w:w="100"/>
              <w:left w:type="dxa" w:w="80"/>
              <w:bottom w:type="dxa" w:w="100"/>
              <w:right w:type="dxa" w:w="80"/>
            </w:tcMar>
          </w:tcPr>
          <w:p>
            <w:pPr>
              <w:jc w:val="center"/>
            </w:pPr>
            <w:r>
              <w:rPr>
                <w:rFonts w:ascii="Arial" w:cs="Arial" w:eastAsia="Arial" w:hAnsi="Arial"/>
                <w:b/>
                <w:bCs/>
                <w:color w:val="1A3A5C"/>
                <w:sz w:val="17"/>
                <w:szCs w:val="17"/>
              </w:rPr>
              <w:t xml:space="preserve">Kaiser Permanente</w:t>
            </w:r>
          </w:p>
        </w:tc>
        <w:tc>
          <w:tcPr>
            <w:tcW w:type="dxa" w:w="1944"/>
            <w:tcBorders>
              <w:top w:val="single" w:color="C0CDD8" w:sz="1"/>
              <w:left w:val="single" w:color="C0CDD8" w:sz="1"/>
              <w:bottom w:val="single" w:color="C0CDD8" w:sz="1"/>
              <w:right w:val="single" w:color="C0CDD8" w:sz="1"/>
            </w:tcBorders>
            <w:shd w:fill="E6F4F8" w:val="clear"/>
            <w:tcMar>
              <w:top w:type="dxa" w:w="100"/>
              <w:left w:type="dxa" w:w="80"/>
              <w:bottom w:type="dxa" w:w="100"/>
              <w:right w:type="dxa" w:w="80"/>
            </w:tcMar>
          </w:tcPr>
          <w:p>
            <w:pPr>
              <w:jc w:val="center"/>
            </w:pPr>
            <w:r>
              <w:rPr>
                <w:rFonts w:ascii="Arial" w:cs="Arial" w:eastAsia="Arial" w:hAnsi="Arial"/>
                <w:b/>
                <w:bCs/>
                <w:color w:val="1A3A5C"/>
                <w:sz w:val="17"/>
                <w:szCs w:val="17"/>
              </w:rPr>
              <w:t xml:space="preserve">One Medical</w:t>
            </w:r>
          </w:p>
        </w:tc>
        <w:tc>
          <w:tcPr>
            <w:tcW w:type="dxa" w:w="1944"/>
            <w:tcBorders>
              <w:top w:val="single" w:color="C0CDD8" w:sz="1"/>
              <w:left w:val="single" w:color="C0CDD8" w:sz="1"/>
              <w:bottom w:val="single" w:color="C0CDD8" w:sz="1"/>
              <w:right w:val="single" w:color="C0CDD8" w:sz="1"/>
            </w:tcBorders>
            <w:shd w:fill="E6F4F8" w:val="clear"/>
            <w:tcMar>
              <w:top w:type="dxa" w:w="100"/>
              <w:left w:type="dxa" w:w="80"/>
              <w:bottom w:type="dxa" w:w="100"/>
              <w:right w:type="dxa" w:w="80"/>
            </w:tcMar>
          </w:tcPr>
          <w:p>
            <w:pPr>
              <w:jc w:val="center"/>
            </w:pPr>
            <w:r>
              <w:rPr>
                <w:rFonts w:ascii="Arial" w:cs="Arial" w:eastAsia="Arial" w:hAnsi="Arial"/>
                <w:b/>
                <w:bCs/>
                <w:color w:val="1A3A5C"/>
                <w:sz w:val="17"/>
                <w:szCs w:val="17"/>
              </w:rPr>
              <w:t xml:space="preserve">athenahealth</w:t>
            </w:r>
          </w:p>
        </w:tc>
        <w:tc>
          <w:tcPr>
            <w:tcW w:type="dxa" w:w="1944"/>
            <w:tcBorders>
              <w:top w:val="single" w:color="C0CDD8" w:sz="1"/>
              <w:left w:val="single" w:color="C0CDD8" w:sz="1"/>
              <w:bottom w:val="single" w:color="C0CDD8" w:sz="1"/>
              <w:right w:val="single" w:color="C0CDD8" w:sz="1"/>
            </w:tcBorders>
            <w:shd w:fill="E6F4F8" w:val="clear"/>
            <w:tcMar>
              <w:top w:type="dxa" w:w="100"/>
              <w:left w:type="dxa" w:w="80"/>
              <w:bottom w:type="dxa" w:w="100"/>
              <w:right w:type="dxa" w:w="80"/>
            </w:tcMar>
          </w:tcPr>
          <w:p>
            <w:pPr>
              <w:jc w:val="center"/>
            </w:pPr>
            <w:r>
              <w:rPr>
                <w:rFonts w:ascii="Arial" w:cs="Arial" w:eastAsia="Arial" w:hAnsi="Arial"/>
                <w:b/>
                <w:bCs/>
                <w:color w:val="1A3A5C"/>
                <w:sz w:val="17"/>
                <w:szCs w:val="17"/>
              </w:rPr>
              <w:t xml:space="preserve">Cleveland Clinic</w:t>
            </w:r>
          </w:p>
        </w:tc>
      </w:tr>
    </w:tbl>
    <w:p>
      <w:r>
        <w:br w:type="page"/>
      </w:r>
    </w:p>
    <w:p>
      <w:pPr>
        <w:pStyle w:val="Heading1"/>
        <w:spacing w:after="200" w:before="360"/>
      </w:pPr>
      <w:r>
        <w:rPr>
          <w:rFonts w:ascii="Arial" w:cs="Arial" w:eastAsia="Arial" w:hAnsi="Arial"/>
          <w:b/>
          <w:bCs/>
          <w:color w:val="1A3A5C"/>
          <w:sz w:val="32"/>
          <w:szCs w:val="32"/>
        </w:rPr>
        <w:t xml:space="preserve">Executive Summary</w:t>
      </w:r>
    </w:p>
    <w:p>
      <w:pPr>
        <w:spacing w:after="100" w:before="60"/>
        <w:jc w:val="left"/>
      </w:pPr>
      <w:r>
        <w:rPr>
          <w:rFonts w:ascii="Arial" w:cs="Arial" w:eastAsia="Arial" w:hAnsi="Arial"/>
          <w:color w:val="2D3748"/>
          <w:sz w:val="20"/>
          <w:szCs w:val="20"/>
        </w:rPr>
        <w:t xml:space="preserve">This report analyzes the UX landscape of five leading patient portal platforms in the medical health space: Sutter Health (MyChart by Epic), Kaiser Permanente, One Medical (Amazon Health), athenahealth, and Cleveland Clinic (MyChart by Epic). The analysis is grounded in direct screen-level research of the Sutter Health portal combined with market research on the remaining four platforms.</w:t>
      </w:r>
    </w:p>
    <w:p>
      <w:pPr>
        <w:spacing w:after="60" w:before="60"/>
      </w:pPr>
      <w:r>
        <w:t xml:space="preserve"/>
      </w:r>
    </w:p>
    <w:p>
      <w:pPr>
        <w:spacing w:after="100" w:before="60"/>
        <w:jc w:val="left"/>
      </w:pPr>
      <w:r>
        <w:rPr>
          <w:rFonts w:ascii="Arial" w:cs="Arial" w:eastAsia="Arial" w:hAnsi="Arial"/>
          <w:color w:val="2D3748"/>
          <w:sz w:val="20"/>
          <w:szCs w:val="20"/>
        </w:rPr>
        <w:t xml:space="preserve">The findings reveal a field where most incumbents share similar functional feature sets, but diverge sharply in their approach to navigation architecture, AI integration, and the emotional tone of the patient experience. Key themes across all five platforms include:</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Functional parity in core tasks (scheduling, messaging, results, billing) — differentiation now lives in execution quality and intelligence layers.</w:t>
      </w:r>
    </w:p>
    <w:p>
      <w:pPr>
        <w:pStyle w:val="ListParagraph"/>
        <w:numPr>
          <w:ilvl w:val="0"/>
          <w:numId w:val="2"/>
        </w:numPr>
        <w:spacing w:after="60" w:before="40"/>
      </w:pPr>
      <w:r>
        <w:rPr>
          <w:rFonts w:ascii="Arial" w:cs="Arial" w:eastAsia="Arial" w:hAnsi="Arial"/>
          <w:color w:val="2D3748"/>
          <w:sz w:val="20"/>
          <w:szCs w:val="20"/>
        </w:rPr>
        <w:t xml:space="preserve">A growing divide between legacy EHR-anchored portals and consumer-grade, AI-first platforms.</w:t>
      </w:r>
    </w:p>
    <w:p>
      <w:pPr>
        <w:pStyle w:val="ListParagraph"/>
        <w:numPr>
          <w:ilvl w:val="0"/>
          <w:numId w:val="2"/>
        </w:numPr>
        <w:spacing w:after="60" w:before="40"/>
      </w:pPr>
      <w:r>
        <w:rPr>
          <w:rFonts w:ascii="Arial" w:cs="Arial" w:eastAsia="Arial" w:hAnsi="Arial"/>
          <w:color w:val="2D3748"/>
          <w:sz w:val="20"/>
          <w:szCs w:val="20"/>
        </w:rPr>
        <w:t xml:space="preserve">Significant whitespace in proactive health coaching, cross-system data aggregation, caregiver coordination, and accessible design for older and lower-literacy users.</w:t>
      </w:r>
    </w:p>
    <w:p>
      <w:pPr>
        <w:spacing w:after="80" w:before="80"/>
      </w:pPr>
      <w:r>
        <w:t xml:space="preserve"/>
      </w:r>
    </w:p>
    <w:p>
      <w:pPr>
        <w:spacing w:after="100" w:before="60"/>
        <w:jc w:val="left"/>
      </w:pPr>
      <w:r>
        <w:rPr>
          <w:rFonts w:ascii="Arial" w:cs="Arial" w:eastAsia="Arial" w:hAnsi="Arial"/>
          <w:color w:val="2D3748"/>
          <w:sz w:val="20"/>
          <w:szCs w:val="20"/>
        </w:rPr>
        <w:t xml:space="preserve">The platform with the greatest near-term opportunity to leapfrog competitors is one that combines the clinical depth of an Epic-integrated portal with the conversational, consumer-grade UX pioneered by One Medical — while closing accessibility and caregiver experience gaps that none of the five currently address well.</w:t>
      </w:r>
    </w:p>
    <w:p>
      <w:pPr>
        <w:spacing w:after="0" w:before="80"/>
      </w:pPr>
      <w:r>
        <w:t xml:space="preserve"/>
      </w:r>
    </w:p>
    <w:p>
      <w:r>
        <w:br w:type="page"/>
      </w:r>
    </w:p>
    <w:p>
      <w:pPr>
        <w:pStyle w:val="Heading1"/>
        <w:spacing w:after="200" w:before="360"/>
      </w:pPr>
      <w:r>
        <w:rPr>
          <w:rFonts w:ascii="Arial" w:cs="Arial" w:eastAsia="Arial" w:hAnsi="Arial"/>
          <w:b/>
          <w:bCs/>
          <w:color w:val="1A3A5C"/>
          <w:sz w:val="32"/>
          <w:szCs w:val="32"/>
        </w:rPr>
        <w:t xml:space="preserve">Methodology</w:t>
      </w:r>
    </w:p>
    <w:p>
      <w:pPr>
        <w:spacing w:after="100" w:before="60"/>
        <w:jc w:val="left"/>
      </w:pPr>
      <w:r>
        <w:rPr>
          <w:rFonts w:ascii="Arial" w:cs="Arial" w:eastAsia="Arial" w:hAnsi="Arial"/>
          <w:color w:val="2D3748"/>
          <w:sz w:val="20"/>
          <w:szCs w:val="20"/>
        </w:rPr>
        <w:t xml:space="preserve">This competitive analysis was conducted using two primary research methods:</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Direct observation: Thirteen screenshots of the Sutter Health patient portal (desktop and mobile) were reviewed, covering the dashboard, navigation, scheduling, test results, appointments, medications, billing, quick actions, and secure messaging flows.</w:t>
      </w:r>
    </w:p>
    <w:p>
      <w:pPr>
        <w:pStyle w:val="ListParagraph"/>
        <w:numPr>
          <w:ilvl w:val="0"/>
          <w:numId w:val="2"/>
        </w:numPr>
        <w:spacing w:after="60" w:before="40"/>
      </w:pPr>
      <w:r>
        <w:rPr>
          <w:rFonts w:ascii="Arial" w:cs="Arial" w:eastAsia="Arial" w:hAnsi="Arial"/>
          <w:color w:val="2D3748"/>
          <w:sz w:val="20"/>
          <w:szCs w:val="20"/>
        </w:rPr>
        <w:t xml:space="preserve">Market research: Published UX reviews, product announcements, academic usability studies, and industry press from 2024 through early 2026 were reviewed for Kaiser Permanente, One Medical (Amazon Health), athenahealth, and Cleveland Clinic.</w:t>
      </w:r>
    </w:p>
    <w:p>
      <w:pPr>
        <w:spacing w:after="80" w:before="80"/>
      </w:pPr>
      <w:r>
        <w:t xml:space="preserve"/>
      </w:r>
    </w:p>
    <w:p>
      <w:pPr>
        <w:spacing w:after="100" w:before="60"/>
        <w:jc w:val="left"/>
      </w:pPr>
      <w:r>
        <w:rPr>
          <w:rFonts w:ascii="Arial" w:cs="Arial" w:eastAsia="Arial" w:hAnsi="Arial"/>
          <w:color w:val="2D3748"/>
          <w:sz w:val="20"/>
          <w:szCs w:val="20"/>
        </w:rPr>
        <w:t xml:space="preserve">Each platform was evaluated across four dimensions: key UX patterns and interaction models, what they do well (strengths), what they do poorly (weaknesses), and unmet user needs that represent whitespace opportunities across the competitive set.</w:t>
      </w:r>
    </w:p>
    <w:p>
      <w:pPr>
        <w:spacing w:after="0" w:before="80"/>
      </w:pPr>
      <w:r>
        <w:t xml:space="preserve"/>
      </w:r>
    </w:p>
    <w:p>
      <w:r>
        <w:br w:type="page"/>
      </w:r>
    </w:p>
    <w:p>
      <w:pPr>
        <w:pStyle w:val="Heading1"/>
        <w:spacing w:after="200" w:before="360"/>
      </w:pPr>
      <w:r>
        <w:rPr>
          <w:rFonts w:ascii="Arial" w:cs="Arial" w:eastAsia="Arial" w:hAnsi="Arial"/>
          <w:b/>
          <w:bCs/>
          <w:color w:val="1A3A5C"/>
          <w:sz w:val="32"/>
          <w:szCs w:val="32"/>
        </w:rPr>
        <w:t xml:space="preserve">Competitor Analysis</w:t>
      </w:r>
    </w:p>
    <w:p>
      <w:pPr>
        <w:pStyle w:val="Heading2"/>
        <w:pBdr>
          <w:bottom w:val="single" w:color="0D6E8A" w:sz="4" w:space="1"/>
        </w:pBdr>
        <w:spacing w:after="120" w:before="280"/>
      </w:pPr>
      <w:r>
        <w:rPr>
          <w:rFonts w:ascii="Arial" w:cs="Arial" w:eastAsia="Arial" w:hAnsi="Arial"/>
          <w:b/>
          <w:bCs/>
          <w:color w:val="0D6E8A"/>
          <w:sz w:val="26"/>
          <w:szCs w:val="26"/>
        </w:rPr>
        <w:t xml:space="preserve">1  —  Sutter Health  (MyChart by Epic)</w:t>
      </w:r>
    </w:p>
    <w:p>
      <w:pPr>
        <w:spacing w:after="80" w:before="40"/>
      </w:pPr>
      <w:r>
        <w:rPr>
          <w:rFonts w:ascii="Arial" w:cs="Arial" w:eastAsia="Arial" w:hAnsi="Arial"/>
          <w:b/>
          <w:bCs/>
          <w:color w:val="0D6E8A"/>
          <w:sz w:val="20"/>
          <w:szCs w:val="20"/>
        </w:rPr>
        <w:t xml:space="preserve">Platform: </w:t>
      </w:r>
      <w:r>
        <w:rPr>
          <w:rFonts w:ascii="Arial" w:cs="Arial" w:eastAsia="Arial" w:hAnsi="Arial"/>
          <w:color w:val="2D3748"/>
          <w:sz w:val="20"/>
          <w:szCs w:val="20"/>
        </w:rPr>
        <w:t xml:space="preserve">Epic MyChart (white-labeled for Sutter Health)</w:t>
      </w:r>
    </w:p>
    <w:p>
      <w:pPr>
        <w:spacing w:after="80" w:before="40"/>
      </w:pPr>
      <w:r>
        <w:rPr>
          <w:rFonts w:ascii="Arial" w:cs="Arial" w:eastAsia="Arial" w:hAnsi="Arial"/>
          <w:b/>
          <w:bCs/>
          <w:color w:val="0D6E8A"/>
          <w:sz w:val="20"/>
          <w:szCs w:val="20"/>
        </w:rPr>
        <w:t xml:space="preserve">Access Model: </w:t>
      </w:r>
      <w:r>
        <w:rPr>
          <w:rFonts w:ascii="Arial" w:cs="Arial" w:eastAsia="Arial" w:hAnsi="Arial"/>
          <w:color w:val="2D3748"/>
          <w:sz w:val="20"/>
          <w:szCs w:val="20"/>
        </w:rPr>
        <w:t xml:space="preserve">Integrated health system portal — free to Sutter patients</w:t>
      </w:r>
    </w:p>
    <w:p>
      <w:pPr>
        <w:spacing w:after="80" w:before="40"/>
      </w:pPr>
      <w:r>
        <w:rPr>
          <w:rFonts w:ascii="Arial" w:cs="Arial" w:eastAsia="Arial" w:hAnsi="Arial"/>
          <w:b/>
          <w:bCs/>
          <w:color w:val="0D6E8A"/>
          <w:sz w:val="20"/>
          <w:szCs w:val="20"/>
        </w:rPr>
        <w:t xml:space="preserve">Coverage: </w:t>
      </w:r>
      <w:r>
        <w:rPr>
          <w:rFonts w:ascii="Arial" w:cs="Arial" w:eastAsia="Arial" w:hAnsi="Arial"/>
          <w:color w:val="2D3748"/>
          <w:sz w:val="20"/>
          <w:szCs w:val="20"/>
        </w:rPr>
        <w:t xml:space="preserve">Northern California (multi-specialty health system)</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Key UX Patterns</w:t>
      </w:r>
    </w:p>
    <w:p>
      <w:pPr>
        <w:pStyle w:val="ListParagraph"/>
        <w:numPr>
          <w:ilvl w:val="0"/>
          <w:numId w:val="2"/>
        </w:numPr>
        <w:spacing w:after="60" w:before="40"/>
      </w:pPr>
      <w:r>
        <w:rPr>
          <w:rFonts w:ascii="Arial" w:cs="Arial" w:eastAsia="Arial" w:hAnsi="Arial"/>
          <w:color w:val="2D3748"/>
          <w:sz w:val="20"/>
          <w:szCs w:val="20"/>
        </w:rPr>
        <w:t xml:space="preserve">Personalized dashboard greeting with an actionable notification card feed ("Your Updates"). Each card surfaces a specific task — view a message, view details, view trends — reducing ambiguity about what action to take.</w:t>
      </w:r>
    </w:p>
    <w:p>
      <w:pPr>
        <w:pStyle w:val="ListParagraph"/>
        <w:numPr>
          <w:ilvl w:val="0"/>
          <w:numId w:val="2"/>
        </w:numPr>
        <w:spacing w:after="60" w:before="40"/>
      </w:pPr>
      <w:r>
        <w:rPr>
          <w:rFonts w:ascii="Arial" w:cs="Arial" w:eastAsia="Arial" w:hAnsi="Arial"/>
          <w:color w:val="2D3748"/>
          <w:sz w:val="20"/>
          <w:szCs w:val="20"/>
        </w:rPr>
        <w:t xml:space="preserve">Persistent shortcut bar across the top of the desktop view (Schedule, View Visits, Test Results, Refills, Pay Bill, Quick Actions) prioritizes the six most frequent tasks at zero clicks.</w:t>
      </w:r>
    </w:p>
    <w:p>
      <w:pPr>
        <w:pStyle w:val="ListParagraph"/>
        <w:numPr>
          <w:ilvl w:val="0"/>
          <w:numId w:val="2"/>
        </w:numPr>
        <w:spacing w:after="60" w:before="40"/>
      </w:pPr>
      <w:r>
        <w:rPr>
          <w:rFonts w:ascii="Arial" w:cs="Arial" w:eastAsia="Arial" w:hAnsi="Arial"/>
          <w:color w:val="2D3748"/>
          <w:sz w:val="20"/>
          <w:szCs w:val="20"/>
        </w:rPr>
        <w:t xml:space="preserve">Care Team widget on the desktop dashboard shows provider photos alongside direct calendar and message icons, making human connection visible and accessible.</w:t>
      </w:r>
    </w:p>
    <w:p>
      <w:pPr>
        <w:pStyle w:val="ListParagraph"/>
        <w:numPr>
          <w:ilvl w:val="0"/>
          <w:numId w:val="2"/>
        </w:numPr>
        <w:spacing w:after="60" w:before="40"/>
      </w:pPr>
      <w:r>
        <w:rPr>
          <w:rFonts w:ascii="Arial" w:cs="Arial" w:eastAsia="Arial" w:hAnsi="Arial"/>
          <w:color w:val="2D3748"/>
          <w:sz w:val="20"/>
          <w:szCs w:val="20"/>
        </w:rPr>
        <w:t xml:space="preserve">Quick Actions overlay provides a conversational list of 6 frequent tasks (Schedule, On-Demand Video Visit, Refill, Customer Service, Speak to a Nurse, Message Care Team) as an alternative navigation path.</w:t>
      </w:r>
    </w:p>
    <w:p>
      <w:pPr>
        <w:pStyle w:val="ListParagraph"/>
        <w:numPr>
          <w:ilvl w:val="0"/>
          <w:numId w:val="2"/>
        </w:numPr>
        <w:spacing w:after="60" w:before="40"/>
      </w:pPr>
      <w:r>
        <w:rPr>
          <w:rFonts w:ascii="Arial" w:cs="Arial" w:eastAsia="Arial" w:hAnsi="Arial"/>
          <w:color w:val="2D3748"/>
          <w:sz w:val="20"/>
          <w:szCs w:val="20"/>
        </w:rPr>
        <w:t xml:space="preserve">Deep hamburger navigation on mobile organizes 40+ links across 7 categories (Find Care, Communication, My Record, Billing, Insurance, Sharing, Resources, Settings) — comprehensive but cognitively demanding.</w:t>
      </w:r>
    </w:p>
    <w:p>
      <w:pPr>
        <w:pStyle w:val="ListParagraph"/>
        <w:numPr>
          <w:ilvl w:val="0"/>
          <w:numId w:val="2"/>
        </w:numPr>
        <w:spacing w:after="60" w:before="40"/>
      </w:pPr>
      <w:r>
        <w:rPr>
          <w:rFonts w:ascii="Arial" w:cs="Arial" w:eastAsia="Arial" w:hAnsi="Arial"/>
          <w:color w:val="2D3748"/>
          <w:sz w:val="20"/>
          <w:szCs w:val="20"/>
        </w:rPr>
        <w:t xml:space="preserve">Appointments view separates upcoming/future visits from past visits with date, provider, and location visible at a glance.</w:t>
      </w:r>
    </w:p>
    <w:p>
      <w:pPr>
        <w:pStyle w:val="ListParagraph"/>
        <w:numPr>
          <w:ilvl w:val="0"/>
          <w:numId w:val="2"/>
        </w:numPr>
        <w:spacing w:after="60" w:before="40"/>
      </w:pPr>
      <w:r>
        <w:rPr>
          <w:rFonts w:ascii="Arial" w:cs="Arial" w:eastAsia="Arial" w:hAnsi="Arial"/>
          <w:color w:val="2D3748"/>
          <w:sz w:val="20"/>
          <w:szCs w:val="20"/>
        </w:rPr>
        <w:t xml:space="preserve">Medications screen includes a proactive safety callout for medications not available for renewal with a direct prompt to contact the care team.</w:t>
      </w:r>
    </w:p>
    <w:p>
      <w:pPr>
        <w:pStyle w:val="ListParagraph"/>
        <w:numPr>
          <w:ilvl w:val="0"/>
          <w:numId w:val="2"/>
        </w:numPr>
        <w:spacing w:after="60" w:before="40"/>
      </w:pPr>
      <w:r>
        <w:rPr>
          <w:rFonts w:ascii="Arial" w:cs="Arial" w:eastAsia="Arial" w:hAnsi="Arial"/>
          <w:color w:val="2D3748"/>
          <w:sz w:val="20"/>
          <w:szCs w:val="20"/>
        </w:rPr>
        <w:t xml:space="preserve">Secure messaging thread displays the full clinical message with My Health Online attribution and a clear reply path.</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Well</w:t>
      </w:r>
    </w:p>
    <w:p>
      <w:pPr>
        <w:pStyle w:val="ListParagraph"/>
        <w:numPr>
          <w:ilvl w:val="0"/>
          <w:numId w:val="2"/>
        </w:numPr>
        <w:spacing w:after="60" w:before="40"/>
      </w:pPr>
      <w:r>
        <w:rPr>
          <w:rFonts w:ascii="Arial" w:cs="Arial" w:eastAsia="Arial" w:hAnsi="Arial"/>
          <w:color w:val="2D3748"/>
          <w:sz w:val="20"/>
          <w:szCs w:val="20"/>
        </w:rPr>
        <w:t xml:space="preserve">Personalization: The dashboard greets the user by name and surfaces time-sensitive, relevant notifications rather than a generic menu.</w:t>
      </w:r>
    </w:p>
    <w:p>
      <w:pPr>
        <w:pStyle w:val="ListParagraph"/>
        <w:numPr>
          <w:ilvl w:val="0"/>
          <w:numId w:val="2"/>
        </w:numPr>
        <w:spacing w:after="60" w:before="40"/>
      </w:pPr>
      <w:r>
        <w:rPr>
          <w:rFonts w:ascii="Arial" w:cs="Arial" w:eastAsia="Arial" w:hAnsi="Arial"/>
          <w:color w:val="2D3748"/>
          <w:sz w:val="20"/>
          <w:szCs w:val="20"/>
        </w:rPr>
        <w:t xml:space="preserve">Care team visibility: Provider photos and direct-contact icons on the dashboard humanize the experience and reduce the friction of reaching a specific clinician.</w:t>
      </w:r>
    </w:p>
    <w:p>
      <w:pPr>
        <w:pStyle w:val="ListParagraph"/>
        <w:numPr>
          <w:ilvl w:val="0"/>
          <w:numId w:val="2"/>
        </w:numPr>
        <w:spacing w:after="60" w:before="40"/>
      </w:pPr>
      <w:r>
        <w:rPr>
          <w:rFonts w:ascii="Arial" w:cs="Arial" w:eastAsia="Arial" w:hAnsi="Arial"/>
          <w:color w:val="2D3748"/>
          <w:sz w:val="20"/>
          <w:szCs w:val="20"/>
        </w:rPr>
        <w:t xml:space="preserve">Dual navigation paths: Both the top shortcut bar and the Quick Actions overlay provide alternate routes to the same tasks — accommodating both task-oriented and exploratory users.</w:t>
      </w:r>
    </w:p>
    <w:p>
      <w:pPr>
        <w:pStyle w:val="ListParagraph"/>
        <w:numPr>
          <w:ilvl w:val="0"/>
          <w:numId w:val="2"/>
        </w:numPr>
        <w:spacing w:after="60" w:before="40"/>
      </w:pPr>
      <w:r>
        <w:rPr>
          <w:rFonts w:ascii="Arial" w:cs="Arial" w:eastAsia="Arial" w:hAnsi="Arial"/>
          <w:color w:val="2D3748"/>
          <w:sz w:val="20"/>
          <w:szCs w:val="20"/>
        </w:rPr>
        <w:t xml:space="preserve">Epic depth: As a full Epic MyChart implementation, the portal has exceptional clinical breadth — results, notes, imaging, referrals, and billing all in one authenticated session.</w:t>
      </w:r>
    </w:p>
    <w:p>
      <w:pPr>
        <w:pStyle w:val="ListParagraph"/>
        <w:numPr>
          <w:ilvl w:val="0"/>
          <w:numId w:val="2"/>
        </w:numPr>
        <w:spacing w:after="60" w:before="40"/>
      </w:pPr>
      <w:r>
        <w:rPr>
          <w:rFonts w:ascii="Arial" w:cs="Arial" w:eastAsia="Arial" w:hAnsi="Arial"/>
          <w:color w:val="2D3748"/>
          <w:sz w:val="20"/>
          <w:szCs w:val="20"/>
        </w:rPr>
        <w:t xml:space="preserve">Desktop-first density: The desktop layout makes good use of two-column space, showing the notification feed and care team panel side by side without feeling crowded.</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Poorly</w:t>
      </w:r>
    </w:p>
    <w:p>
      <w:pPr>
        <w:pStyle w:val="ListParagraph"/>
        <w:numPr>
          <w:ilvl w:val="0"/>
          <w:numId w:val="2"/>
        </w:numPr>
        <w:spacing w:after="60" w:before="40"/>
      </w:pPr>
      <w:r>
        <w:rPr>
          <w:rFonts w:ascii="Arial" w:cs="Arial" w:eastAsia="Arial" w:hAnsi="Arial"/>
          <w:color w:val="2D3748"/>
          <w:sz w:val="20"/>
          <w:szCs w:val="20"/>
        </w:rPr>
        <w:t xml:space="preserve">Mobile navigation overload: The hamburger menu exposes 40+ items across scrollable categories. There is no intelligent prioritization, search within the menu, or recently-used shortcuts — forcing users to hunt every time.</w:t>
      </w:r>
    </w:p>
    <w:p>
      <w:pPr>
        <w:pStyle w:val="ListParagraph"/>
        <w:numPr>
          <w:ilvl w:val="0"/>
          <w:numId w:val="2"/>
        </w:numPr>
        <w:spacing w:after="60" w:before="40"/>
      </w:pPr>
      <w:r>
        <w:rPr>
          <w:rFonts w:ascii="Arial" w:cs="Arial" w:eastAsia="Arial" w:hAnsi="Arial"/>
          <w:color w:val="2D3748"/>
          <w:sz w:val="20"/>
          <w:szCs w:val="20"/>
        </w:rPr>
        <w:t xml:space="preserve">Generic visual identity: The UI adheres closely to the default MyChart design system. Little about the experience feels distinctly Sutter, reducing brand trust and warmth.</w:t>
      </w:r>
    </w:p>
    <w:p>
      <w:pPr>
        <w:pStyle w:val="ListParagraph"/>
        <w:numPr>
          <w:ilvl w:val="0"/>
          <w:numId w:val="2"/>
        </w:numPr>
        <w:spacing w:after="60" w:before="40"/>
      </w:pPr>
      <w:r>
        <w:rPr>
          <w:rFonts w:ascii="Arial" w:cs="Arial" w:eastAsia="Arial" w:hAnsi="Arial"/>
          <w:color w:val="2D3748"/>
          <w:sz w:val="20"/>
          <w:szCs w:val="20"/>
        </w:rPr>
        <w:t xml:space="preserve">Test results lack context: Individual result cards show the ordering provider name but no plain-language interpretation, trend line, or indication of what a normal range looks like. Patients are left to Google what their MRI or lab result means.</w:t>
      </w:r>
    </w:p>
    <w:p>
      <w:pPr>
        <w:pStyle w:val="ListParagraph"/>
        <w:numPr>
          <w:ilvl w:val="0"/>
          <w:numId w:val="2"/>
        </w:numPr>
        <w:spacing w:after="60" w:before="40"/>
      </w:pPr>
      <w:r>
        <w:rPr>
          <w:rFonts w:ascii="Arial" w:cs="Arial" w:eastAsia="Arial" w:hAnsi="Arial"/>
          <w:color w:val="2D3748"/>
          <w:sz w:val="20"/>
          <w:szCs w:val="20"/>
        </w:rPr>
        <w:t xml:space="preserve">Billing confusion: The View/Pay Bill screen shows multiple organization balances (Silicon Valley Area Hospitals, Sutter Family Medicine) with no summary total or payment-in-one-place option, creating cognitive overhead.</w:t>
      </w:r>
    </w:p>
    <w:p>
      <w:pPr>
        <w:pStyle w:val="ListParagraph"/>
        <w:numPr>
          <w:ilvl w:val="0"/>
          <w:numId w:val="2"/>
        </w:numPr>
        <w:spacing w:after="60" w:before="40"/>
      </w:pPr>
      <w:r>
        <w:rPr>
          <w:rFonts w:ascii="Arial" w:cs="Arial" w:eastAsia="Arial" w:hAnsi="Arial"/>
          <w:color w:val="2D3748"/>
          <w:sz w:val="20"/>
          <w:szCs w:val="20"/>
        </w:rPr>
        <w:t xml:space="preserve">No longitudinal health trends: Despite a "Trends Dashboard" link in notifications, there is no visible health visualization layer on the main dashboard — weight, blood pressure, and lab trends are buried.</w:t>
      </w:r>
    </w:p>
    <w:p>
      <w:pPr>
        <w:pStyle w:val="ListParagraph"/>
        <w:numPr>
          <w:ilvl w:val="0"/>
          <w:numId w:val="2"/>
        </w:numPr>
        <w:spacing w:after="60" w:before="40"/>
      </w:pPr>
      <w:r>
        <w:rPr>
          <w:rFonts w:ascii="Arial" w:cs="Arial" w:eastAsia="Arial" w:hAnsi="Arial"/>
          <w:color w:val="2D3748"/>
          <w:sz w:val="20"/>
          <w:szCs w:val="20"/>
        </w:rPr>
        <w:t xml:space="preserve">Accessibility gaps: Font sizes are small on mobile, color contrast in secondary UI elements is marginal, and there are no apparent text-size or high-contrast settings surfaced in the visible UX.</w:t>
      </w:r>
    </w:p>
    <w:p>
      <w:pPr>
        <w:spacing w:after="0" w:before="80"/>
      </w:pPr>
      <w:r>
        <w:t xml:space="preserve"/>
      </w:r>
    </w:p>
    <w:p>
      <w:r>
        <w:br w:type="page"/>
      </w:r>
    </w:p>
    <w:p>
      <w:pPr>
        <w:pStyle w:val="Heading2"/>
        <w:pBdr>
          <w:bottom w:val="single" w:color="0D6E8A" w:sz="4" w:space="1"/>
        </w:pBdr>
        <w:spacing w:after="120" w:before="280"/>
      </w:pPr>
      <w:r>
        <w:rPr>
          <w:rFonts w:ascii="Arial" w:cs="Arial" w:eastAsia="Arial" w:hAnsi="Arial"/>
          <w:b/>
          <w:bCs/>
          <w:color w:val="0D6E8A"/>
          <w:sz w:val="26"/>
          <w:szCs w:val="26"/>
        </w:rPr>
        <w:t xml:space="preserve">2  —  Kaiser Permanente</w:t>
      </w:r>
    </w:p>
    <w:p>
      <w:pPr>
        <w:spacing w:after="80" w:before="40"/>
      </w:pPr>
      <w:r>
        <w:rPr>
          <w:rFonts w:ascii="Arial" w:cs="Arial" w:eastAsia="Arial" w:hAnsi="Arial"/>
          <w:b/>
          <w:bCs/>
          <w:color w:val="0D6E8A"/>
          <w:sz w:val="20"/>
          <w:szCs w:val="20"/>
        </w:rPr>
        <w:t xml:space="preserve">Platform: </w:t>
      </w:r>
      <w:r>
        <w:rPr>
          <w:rFonts w:ascii="Arial" w:cs="Arial" w:eastAsia="Arial" w:hAnsi="Arial"/>
          <w:color w:val="2D3748"/>
          <w:sz w:val="20"/>
          <w:szCs w:val="20"/>
        </w:rPr>
        <w:t xml:space="preserve">Proprietary portal + Kaiser Permanente Intelligent Navigator (KPIN)</w:t>
      </w:r>
    </w:p>
    <w:p>
      <w:pPr>
        <w:spacing w:after="80" w:before="40"/>
      </w:pPr>
      <w:r>
        <w:rPr>
          <w:rFonts w:ascii="Arial" w:cs="Arial" w:eastAsia="Arial" w:hAnsi="Arial"/>
          <w:b/>
          <w:bCs/>
          <w:color w:val="0D6E8A"/>
          <w:sz w:val="20"/>
          <w:szCs w:val="20"/>
        </w:rPr>
        <w:t xml:space="preserve">Access Model: </w:t>
      </w:r>
      <w:r>
        <w:rPr>
          <w:rFonts w:ascii="Arial" w:cs="Arial" w:eastAsia="Arial" w:hAnsi="Arial"/>
          <w:color w:val="2D3748"/>
          <w:sz w:val="20"/>
          <w:szCs w:val="20"/>
        </w:rPr>
        <w:t xml:space="preserve">Integrated health system portal — available to Kaiser members only</w:t>
      </w:r>
    </w:p>
    <w:p>
      <w:pPr>
        <w:spacing w:after="80" w:before="40"/>
      </w:pPr>
      <w:r>
        <w:rPr>
          <w:rFonts w:ascii="Arial" w:cs="Arial" w:eastAsia="Arial" w:hAnsi="Arial"/>
          <w:b/>
          <w:bCs/>
          <w:color w:val="0D6E8A"/>
          <w:sz w:val="20"/>
          <w:szCs w:val="20"/>
        </w:rPr>
        <w:t xml:space="preserve">Coverage: </w:t>
      </w:r>
      <w:r>
        <w:rPr>
          <w:rFonts w:ascii="Arial" w:cs="Arial" w:eastAsia="Arial" w:hAnsi="Arial"/>
          <w:color w:val="2D3748"/>
          <w:sz w:val="20"/>
          <w:szCs w:val="20"/>
        </w:rPr>
        <w:t xml:space="preserve">Multi-state (CA, CO, GA, HI, MD, OR, VA, WA, DC)</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Key UX Patterns</w:t>
      </w:r>
    </w:p>
    <w:p>
      <w:pPr>
        <w:pStyle w:val="ListParagraph"/>
        <w:numPr>
          <w:ilvl w:val="0"/>
          <w:numId w:val="2"/>
        </w:numPr>
        <w:spacing w:after="60" w:before="40"/>
      </w:pPr>
      <w:r>
        <w:rPr>
          <w:rFonts w:ascii="Arial" w:cs="Arial" w:eastAsia="Arial" w:hAnsi="Arial"/>
          <w:color w:val="2D3748"/>
          <w:sz w:val="20"/>
          <w:szCs w:val="20"/>
        </w:rPr>
        <w:t xml:space="preserve">AI-powered natural language navigation (KPIN): Launched in Southern California in 2024, KPIN replaces preset menu navigation with a free-text input where patients describe their needs in their own words. The AI routes them to the right care type or provider.</w:t>
      </w:r>
    </w:p>
    <w:p>
      <w:pPr>
        <w:pStyle w:val="ListParagraph"/>
        <w:numPr>
          <w:ilvl w:val="0"/>
          <w:numId w:val="2"/>
        </w:numPr>
        <w:spacing w:after="60" w:before="40"/>
      </w:pPr>
      <w:r>
        <w:rPr>
          <w:rFonts w:ascii="Arial" w:cs="Arial" w:eastAsia="Arial" w:hAnsi="Arial"/>
          <w:color w:val="2D3748"/>
          <w:sz w:val="20"/>
          <w:szCs w:val="20"/>
        </w:rPr>
        <w:t xml:space="preserve">Multi-channel consistency: The patient portal, mobile app, and self-service IVR phone system share a unified navigation model, reducing the cognitive load of switching channels.</w:t>
      </w:r>
    </w:p>
    <w:p>
      <w:pPr>
        <w:pStyle w:val="ListParagraph"/>
        <w:numPr>
          <w:ilvl w:val="0"/>
          <w:numId w:val="2"/>
        </w:numPr>
        <w:spacing w:after="60" w:before="40"/>
      </w:pPr>
      <w:r>
        <w:rPr>
          <w:rFonts w:ascii="Arial" w:cs="Arial" w:eastAsia="Arial" w:hAnsi="Arial"/>
          <w:color w:val="2D3748"/>
          <w:sz w:val="20"/>
          <w:szCs w:val="20"/>
        </w:rPr>
        <w:t xml:space="preserve">Integrated care model reflection: Because Kaiser is both insurer and provider, the portal surfaces benefits, cost estimates, referral status, and clinical records in a single authenticated experience — a structural advantage unavailable to most competitors.</w:t>
      </w:r>
    </w:p>
    <w:p>
      <w:pPr>
        <w:pStyle w:val="ListParagraph"/>
        <w:numPr>
          <w:ilvl w:val="0"/>
          <w:numId w:val="2"/>
        </w:numPr>
        <w:spacing w:after="60" w:before="40"/>
      </w:pPr>
      <w:r>
        <w:rPr>
          <w:rFonts w:ascii="Arial" w:cs="Arial" w:eastAsia="Arial" w:hAnsi="Arial"/>
          <w:color w:val="2D3748"/>
          <w:sz w:val="20"/>
          <w:szCs w:val="20"/>
        </w:rPr>
        <w:t xml:space="preserve">Preventive care prompting: The portal surfaces due and overdue screenings and vaccines proactively, tied directly to the member’s age, sex, and history.</w:t>
      </w:r>
    </w:p>
    <w:p>
      <w:pPr>
        <w:pStyle w:val="ListParagraph"/>
        <w:numPr>
          <w:ilvl w:val="0"/>
          <w:numId w:val="2"/>
        </w:numPr>
        <w:spacing w:after="60" w:before="40"/>
      </w:pPr>
      <w:r>
        <w:rPr>
          <w:rFonts w:ascii="Arial" w:cs="Arial" w:eastAsia="Arial" w:hAnsi="Arial"/>
          <w:color w:val="2D3748"/>
          <w:sz w:val="20"/>
          <w:szCs w:val="20"/>
        </w:rPr>
        <w:t xml:space="preserve">E-visit and telehealth first: Kaiser’s portal has offered asynchronous e-visits (secure message-based clinical consultations) for over a decade, predating the telehealth wave.</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Well</w:t>
      </w:r>
    </w:p>
    <w:p>
      <w:pPr>
        <w:pStyle w:val="ListParagraph"/>
        <w:numPr>
          <w:ilvl w:val="0"/>
          <w:numId w:val="2"/>
        </w:numPr>
        <w:spacing w:after="60" w:before="40"/>
      </w:pPr>
      <w:r>
        <w:rPr>
          <w:rFonts w:ascii="Arial" w:cs="Arial" w:eastAsia="Arial" w:hAnsi="Arial"/>
          <w:color w:val="2D3748"/>
          <w:sz w:val="20"/>
          <w:szCs w:val="20"/>
        </w:rPr>
        <w:t xml:space="preserve">AI navigation accuracy: KPIN detected urgent medical cases with 97.7% accuracy and routed patients to appropriate care pathways 88.9% of the time, with a measured 8.6-point increase in patient satisfaction.</w:t>
      </w:r>
    </w:p>
    <w:p>
      <w:pPr>
        <w:pStyle w:val="ListParagraph"/>
        <w:numPr>
          <w:ilvl w:val="0"/>
          <w:numId w:val="2"/>
        </w:numPr>
        <w:spacing w:after="60" w:before="40"/>
      </w:pPr>
      <w:r>
        <w:rPr>
          <w:rFonts w:ascii="Arial" w:cs="Arial" w:eastAsia="Arial" w:hAnsi="Arial"/>
          <w:color w:val="2D3748"/>
          <w:sz w:val="20"/>
          <w:szCs w:val="20"/>
        </w:rPr>
        <w:t xml:space="preserve">Closed ecosystem advantage: The unified insurer-provider model means cost transparency is genuinely achievable. Members can see estimated out-of-pocket costs before booking, not after.</w:t>
      </w:r>
    </w:p>
    <w:p>
      <w:pPr>
        <w:pStyle w:val="ListParagraph"/>
        <w:numPr>
          <w:ilvl w:val="0"/>
          <w:numId w:val="2"/>
        </w:numPr>
        <w:spacing w:after="60" w:before="40"/>
      </w:pPr>
      <w:r>
        <w:rPr>
          <w:rFonts w:ascii="Arial" w:cs="Arial" w:eastAsia="Arial" w:hAnsi="Arial"/>
          <w:color w:val="2D3748"/>
          <w:sz w:val="20"/>
          <w:szCs w:val="20"/>
        </w:rPr>
        <w:t xml:space="preserve">Preventive care integration: Proactive screening reminders tied to the individual’s clinical record drive meaningful preventive health behavior at scale.</w:t>
      </w:r>
    </w:p>
    <w:p>
      <w:pPr>
        <w:pStyle w:val="ListParagraph"/>
        <w:numPr>
          <w:ilvl w:val="0"/>
          <w:numId w:val="2"/>
        </w:numPr>
        <w:spacing w:after="60" w:before="40"/>
      </w:pPr>
      <w:r>
        <w:rPr>
          <w:rFonts w:ascii="Arial" w:cs="Arial" w:eastAsia="Arial" w:hAnsi="Arial"/>
          <w:color w:val="2D3748"/>
          <w:sz w:val="20"/>
          <w:szCs w:val="20"/>
        </w:rPr>
        <w:t xml:space="preserve">Longitudinal digital experience: Kaiser has been iterating on its portal longer than almost any competitor, resulting in a mature, well-tested interaction model.</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Poorly</w:t>
      </w:r>
    </w:p>
    <w:p>
      <w:pPr>
        <w:pStyle w:val="ListParagraph"/>
        <w:numPr>
          <w:ilvl w:val="0"/>
          <w:numId w:val="2"/>
        </w:numPr>
        <w:spacing w:after="60" w:before="40"/>
      </w:pPr>
      <w:r>
        <w:rPr>
          <w:rFonts w:ascii="Arial" w:cs="Arial" w:eastAsia="Arial" w:hAnsi="Arial"/>
          <w:color w:val="2D3748"/>
          <w:sz w:val="20"/>
          <w:szCs w:val="20"/>
        </w:rPr>
        <w:t xml:space="preserve">Closed to non-members: The integrated portal experience is unavailable to anyone outside the Kaiser network, limiting its relevance for patients with specialist care outside the system.</w:t>
      </w:r>
    </w:p>
    <w:p>
      <w:pPr>
        <w:pStyle w:val="ListParagraph"/>
        <w:numPr>
          <w:ilvl w:val="0"/>
          <w:numId w:val="2"/>
        </w:numPr>
        <w:spacing w:after="60" w:before="40"/>
      </w:pPr>
      <w:r>
        <w:rPr>
          <w:rFonts w:ascii="Arial" w:cs="Arial" w:eastAsia="Arial" w:hAnsi="Arial"/>
          <w:color w:val="2D3748"/>
          <w:sz w:val="20"/>
          <w:szCs w:val="20"/>
        </w:rPr>
        <w:t xml:space="preserve">Midpack digital satisfaction: Despite KPIN, Kaiser earned only an 81% overall digital experience score in 2025 consumer surveys — below the scores of more consumer-grade platforms like One Medical.</w:t>
      </w:r>
    </w:p>
    <w:p>
      <w:pPr>
        <w:pStyle w:val="ListParagraph"/>
        <w:numPr>
          <w:ilvl w:val="0"/>
          <w:numId w:val="2"/>
        </w:numPr>
        <w:spacing w:after="60" w:before="40"/>
      </w:pPr>
      <w:r>
        <w:rPr>
          <w:rFonts w:ascii="Arial" w:cs="Arial" w:eastAsia="Arial" w:hAnsi="Arial"/>
          <w:color w:val="2D3748"/>
          <w:sz w:val="20"/>
          <w:szCs w:val="20"/>
        </w:rPr>
        <w:t xml:space="preserve">KPIN limited rollout: AI navigation was only available in Southern California as of 2025, leaving the majority of Kaiser members on the older, menu-heavy navigation model.</w:t>
      </w:r>
    </w:p>
    <w:p>
      <w:pPr>
        <w:pStyle w:val="ListParagraph"/>
        <w:numPr>
          <w:ilvl w:val="0"/>
          <w:numId w:val="2"/>
        </w:numPr>
        <w:spacing w:after="60" w:before="40"/>
      </w:pPr>
      <w:r>
        <w:rPr>
          <w:rFonts w:ascii="Arial" w:cs="Arial" w:eastAsia="Arial" w:hAnsi="Arial"/>
          <w:color w:val="2D3748"/>
          <w:sz w:val="20"/>
          <w:szCs w:val="20"/>
        </w:rPr>
        <w:t xml:space="preserve">Mobile app experience lags web: Published user reviews indicate the mobile app’s information architecture does not fully reflect the web portal improvements, creating inconsistency.</w:t>
      </w:r>
    </w:p>
    <w:p>
      <w:pPr>
        <w:spacing w:after="0" w:before="80"/>
      </w:pPr>
      <w:r>
        <w:t xml:space="preserve"/>
      </w:r>
    </w:p>
    <w:p>
      <w:r>
        <w:br w:type="page"/>
      </w:r>
    </w:p>
    <w:p>
      <w:pPr>
        <w:pStyle w:val="Heading2"/>
        <w:pBdr>
          <w:bottom w:val="single" w:color="0D6E8A" w:sz="4" w:space="1"/>
        </w:pBdr>
        <w:spacing w:after="120" w:before="280"/>
      </w:pPr>
      <w:r>
        <w:rPr>
          <w:rFonts w:ascii="Arial" w:cs="Arial" w:eastAsia="Arial" w:hAnsi="Arial"/>
          <w:b/>
          <w:bCs/>
          <w:color w:val="0D6E8A"/>
          <w:sz w:val="26"/>
          <w:szCs w:val="26"/>
        </w:rPr>
        <w:t xml:space="preserve">3  —  One Medical  (Amazon Health)</w:t>
      </w:r>
    </w:p>
    <w:p>
      <w:pPr>
        <w:spacing w:after="80" w:before="40"/>
      </w:pPr>
      <w:r>
        <w:rPr>
          <w:rFonts w:ascii="Arial" w:cs="Arial" w:eastAsia="Arial" w:hAnsi="Arial"/>
          <w:b/>
          <w:bCs/>
          <w:color w:val="0D6E8A"/>
          <w:sz w:val="20"/>
          <w:szCs w:val="20"/>
        </w:rPr>
        <w:t xml:space="preserve">Platform: </w:t>
      </w:r>
      <w:r>
        <w:rPr>
          <w:rFonts w:ascii="Arial" w:cs="Arial" w:eastAsia="Arial" w:hAnsi="Arial"/>
          <w:color w:val="2D3748"/>
          <w:sz w:val="20"/>
          <w:szCs w:val="20"/>
        </w:rPr>
        <w:t xml:space="preserve">Proprietary app + Amazon Health AI layer</w:t>
      </w:r>
    </w:p>
    <w:p>
      <w:pPr>
        <w:spacing w:after="80" w:before="40"/>
      </w:pPr>
      <w:r>
        <w:rPr>
          <w:rFonts w:ascii="Arial" w:cs="Arial" w:eastAsia="Arial" w:hAnsi="Arial"/>
          <w:b/>
          <w:bCs/>
          <w:color w:val="0D6E8A"/>
          <w:sz w:val="20"/>
          <w:szCs w:val="20"/>
        </w:rPr>
        <w:t xml:space="preserve">Access Model: </w:t>
      </w:r>
      <w:r>
        <w:rPr>
          <w:rFonts w:ascii="Arial" w:cs="Arial" w:eastAsia="Arial" w:hAnsi="Arial"/>
          <w:color w:val="2D3748"/>
          <w:sz w:val="20"/>
          <w:szCs w:val="20"/>
        </w:rPr>
        <w:t xml:space="preserve">Membership-based ($199/year) + insurance accepted</w:t>
      </w:r>
    </w:p>
    <w:p>
      <w:pPr>
        <w:spacing w:after="80" w:before="40"/>
      </w:pPr>
      <w:r>
        <w:rPr>
          <w:rFonts w:ascii="Arial" w:cs="Arial" w:eastAsia="Arial" w:hAnsi="Arial"/>
          <w:b/>
          <w:bCs/>
          <w:color w:val="0D6E8A"/>
          <w:sz w:val="20"/>
          <w:szCs w:val="20"/>
        </w:rPr>
        <w:t xml:space="preserve">Coverage: </w:t>
      </w:r>
      <w:r>
        <w:rPr>
          <w:rFonts w:ascii="Arial" w:cs="Arial" w:eastAsia="Arial" w:hAnsi="Arial"/>
          <w:color w:val="2D3748"/>
          <w:sz w:val="20"/>
          <w:szCs w:val="20"/>
        </w:rPr>
        <w:t xml:space="preserve">Urban/suburban US, expanding nationally via Amazon</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Key UX Patterns</w:t>
      </w:r>
    </w:p>
    <w:p>
      <w:pPr>
        <w:pStyle w:val="ListParagraph"/>
        <w:numPr>
          <w:ilvl w:val="0"/>
          <w:numId w:val="2"/>
        </w:numPr>
        <w:spacing w:after="60" w:before="40"/>
      </w:pPr>
      <w:r>
        <w:rPr>
          <w:rFonts w:ascii="Arial" w:cs="Arial" w:eastAsia="Arial" w:hAnsi="Arial"/>
          <w:color w:val="2D3748"/>
          <w:sz w:val="20"/>
          <w:szCs w:val="20"/>
        </w:rPr>
        <w:t xml:space="preserve">Conversational AI as primary navigation: The Health AI assistant (powered by Amazon Bedrock) is the front door for many tasks — booking appointments, renewing prescriptions, answering health questions, and navigating results — all through a chat interface rather than menus.</w:t>
      </w:r>
    </w:p>
    <w:p>
      <w:pPr>
        <w:pStyle w:val="ListParagraph"/>
        <w:numPr>
          <w:ilvl w:val="0"/>
          <w:numId w:val="2"/>
        </w:numPr>
        <w:spacing w:after="60" w:before="40"/>
      </w:pPr>
      <w:r>
        <w:rPr>
          <w:rFonts w:ascii="Arial" w:cs="Arial" w:eastAsia="Arial" w:hAnsi="Arial"/>
          <w:color w:val="2D3748"/>
          <w:sz w:val="20"/>
          <w:szCs w:val="20"/>
        </w:rPr>
        <w:t xml:space="preserve">Health Insights for lab results: A dedicated layer analyzes 50+ biomarkers from standard bloodwork and delivers plain-language explanations of what results mean for the patient’s everyday health, removing the anxiety of unexplained numbers.</w:t>
      </w:r>
    </w:p>
    <w:p>
      <w:pPr>
        <w:pStyle w:val="ListParagraph"/>
        <w:numPr>
          <w:ilvl w:val="0"/>
          <w:numId w:val="2"/>
        </w:numPr>
        <w:spacing w:after="60" w:before="40"/>
      </w:pPr>
      <w:r>
        <w:rPr>
          <w:rFonts w:ascii="Arial" w:cs="Arial" w:eastAsia="Arial" w:hAnsi="Arial"/>
          <w:color w:val="2D3748"/>
          <w:sz w:val="20"/>
          <w:szCs w:val="20"/>
        </w:rPr>
        <w:t xml:space="preserve">Mobile-first design philosophy: The One Medical app uses consumer-grade interaction patterns (cards, chat bubbles, bottom navigation, haptic feedback) rather than clinical portal conventions, resulting in a notably lower-anxiety visual tone.</w:t>
      </w:r>
    </w:p>
    <w:p>
      <w:pPr>
        <w:pStyle w:val="ListParagraph"/>
        <w:numPr>
          <w:ilvl w:val="0"/>
          <w:numId w:val="2"/>
        </w:numPr>
        <w:spacing w:after="60" w:before="40"/>
      </w:pPr>
      <w:r>
        <w:rPr>
          <w:rFonts w:ascii="Arial" w:cs="Arial" w:eastAsia="Arial" w:hAnsi="Arial"/>
          <w:color w:val="2D3748"/>
          <w:sz w:val="20"/>
          <w:szCs w:val="20"/>
        </w:rPr>
        <w:t xml:space="preserve">Same-day availability surface: The home screen prominently surfaces same-day and next-day appointment slots, treating time-to-care as a primary UX metric.</w:t>
      </w:r>
    </w:p>
    <w:p>
      <w:pPr>
        <w:pStyle w:val="ListParagraph"/>
        <w:numPr>
          <w:ilvl w:val="0"/>
          <w:numId w:val="2"/>
        </w:numPr>
        <w:spacing w:after="60" w:before="40"/>
      </w:pPr>
      <w:r>
        <w:rPr>
          <w:rFonts w:ascii="Arial" w:cs="Arial" w:eastAsia="Arial" w:hAnsi="Arial"/>
          <w:color w:val="2D3748"/>
          <w:sz w:val="20"/>
          <w:szCs w:val="20"/>
        </w:rPr>
        <w:t xml:space="preserve">Amazon ecosystem integration: Health AI is available on Amazon.com and the Amazon app beyond just the One Medical portal, making healthcare navigation a native part of the broader Amazon experience.</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Well</w:t>
      </w:r>
    </w:p>
    <w:p>
      <w:pPr>
        <w:pStyle w:val="ListParagraph"/>
        <w:numPr>
          <w:ilvl w:val="0"/>
          <w:numId w:val="2"/>
        </w:numPr>
        <w:spacing w:after="60" w:before="40"/>
      </w:pPr>
      <w:r>
        <w:rPr>
          <w:rFonts w:ascii="Arial" w:cs="Arial" w:eastAsia="Arial" w:hAnsi="Arial"/>
          <w:color w:val="2D3748"/>
          <w:sz w:val="20"/>
          <w:szCs w:val="20"/>
        </w:rPr>
        <w:t xml:space="preserve">Consumer-grade design language: The app looks and feels closer to a modern fintech or wellness app than a clinical portal, substantially reducing the cognitive and emotional load of engaging with health information.</w:t>
      </w:r>
    </w:p>
    <w:p>
      <w:pPr>
        <w:pStyle w:val="ListParagraph"/>
        <w:numPr>
          <w:ilvl w:val="0"/>
          <w:numId w:val="2"/>
        </w:numPr>
        <w:spacing w:after="60" w:before="40"/>
      </w:pPr>
      <w:r>
        <w:rPr>
          <w:rFonts w:ascii="Arial" w:cs="Arial" w:eastAsia="Arial" w:hAnsi="Arial"/>
          <w:color w:val="2D3748"/>
          <w:sz w:val="20"/>
          <w:szCs w:val="20"/>
        </w:rPr>
        <w:t xml:space="preserve">Lab result interpretation at scale: Health Insights is the most advanced plain-language lab result explanation in the competitive set, addressing one of the highest-anxiety moments in the patient journey.</w:t>
      </w:r>
    </w:p>
    <w:p>
      <w:pPr>
        <w:pStyle w:val="ListParagraph"/>
        <w:numPr>
          <w:ilvl w:val="0"/>
          <w:numId w:val="2"/>
        </w:numPr>
        <w:spacing w:after="60" w:before="40"/>
      </w:pPr>
      <w:r>
        <w:rPr>
          <w:rFonts w:ascii="Arial" w:cs="Arial" w:eastAsia="Arial" w:hAnsi="Arial"/>
          <w:color w:val="2D3748"/>
          <w:sz w:val="20"/>
          <w:szCs w:val="20"/>
        </w:rPr>
        <w:t xml:space="preserve">Chat-first navigation: Using a conversational AI interface removes the need for patients to know the portal’s information architecture — they simply describe what they need.</w:t>
      </w:r>
    </w:p>
    <w:p>
      <w:pPr>
        <w:pStyle w:val="ListParagraph"/>
        <w:numPr>
          <w:ilvl w:val="0"/>
          <w:numId w:val="2"/>
        </w:numPr>
        <w:spacing w:after="60" w:before="40"/>
      </w:pPr>
      <w:r>
        <w:rPr>
          <w:rFonts w:ascii="Arial" w:cs="Arial" w:eastAsia="Arial" w:hAnsi="Arial"/>
          <w:color w:val="2D3748"/>
          <w:sz w:val="20"/>
          <w:szCs w:val="20"/>
        </w:rPr>
        <w:t xml:space="preserve">Speed as a differentiator: Same-day appointment prominence and fast async messaging with care teams make the platform feel responsive in a way that traditional portals do not.</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Poorly</w:t>
      </w:r>
    </w:p>
    <w:p>
      <w:pPr>
        <w:pStyle w:val="ListParagraph"/>
        <w:numPr>
          <w:ilvl w:val="0"/>
          <w:numId w:val="2"/>
        </w:numPr>
        <w:spacing w:after="60" w:before="40"/>
      </w:pPr>
      <w:r>
        <w:rPr>
          <w:rFonts w:ascii="Arial" w:cs="Arial" w:eastAsia="Arial" w:hAnsi="Arial"/>
          <w:color w:val="2D3748"/>
          <w:sz w:val="20"/>
          <w:szCs w:val="20"/>
        </w:rPr>
        <w:t xml:space="preserve">Membership paywall: The $199/year membership fee creates an equity barrier. The most patient-friendly features are unavailable to lower-income patients or those whose employers don’t subsidize the membership.</w:t>
      </w:r>
    </w:p>
    <w:p>
      <w:pPr>
        <w:pStyle w:val="ListParagraph"/>
        <w:numPr>
          <w:ilvl w:val="0"/>
          <w:numId w:val="2"/>
        </w:numPr>
        <w:spacing w:after="60" w:before="40"/>
      </w:pPr>
      <w:r>
        <w:rPr>
          <w:rFonts w:ascii="Arial" w:cs="Arial" w:eastAsia="Arial" w:hAnsi="Arial"/>
          <w:color w:val="2D3748"/>
          <w:sz w:val="20"/>
          <w:szCs w:val="20"/>
        </w:rPr>
        <w:t xml:space="preserve">Billing system failures: User complaints in 2025–2026 describe duplicate membership charges, unprompted membership cancellations due to backend failures between Amazon Health and One Medical, and billing escalated to debt collection. Administrative quality lags product quality significantly.</w:t>
      </w:r>
    </w:p>
    <w:p>
      <w:pPr>
        <w:pStyle w:val="ListParagraph"/>
        <w:numPr>
          <w:ilvl w:val="0"/>
          <w:numId w:val="2"/>
        </w:numPr>
        <w:spacing w:after="60" w:before="40"/>
      </w:pPr>
      <w:r>
        <w:rPr>
          <w:rFonts w:ascii="Arial" w:cs="Arial" w:eastAsia="Arial" w:hAnsi="Arial"/>
          <w:color w:val="2D3748"/>
          <w:sz w:val="20"/>
          <w:szCs w:val="20"/>
        </w:rPr>
        <w:t xml:space="preserve">Shallow specialist integration: One Medical’s platform excels for primary care but has limited integration with specialty care, imaging, and hospital systems, creating fragmented records for patients with complex needs.</w:t>
      </w:r>
    </w:p>
    <w:p>
      <w:pPr>
        <w:pStyle w:val="ListParagraph"/>
        <w:numPr>
          <w:ilvl w:val="0"/>
          <w:numId w:val="2"/>
        </w:numPr>
        <w:spacing w:after="60" w:before="40"/>
      </w:pPr>
      <w:r>
        <w:rPr>
          <w:rFonts w:ascii="Arial" w:cs="Arial" w:eastAsia="Arial" w:hAnsi="Arial"/>
          <w:color w:val="2D3748"/>
          <w:sz w:val="20"/>
          <w:szCs w:val="20"/>
        </w:rPr>
        <w:t xml:space="preserve">Perception as ‘boutique’ healthcare: The premium positioning may undermine trust for patients who expect clinical rigor over consumer polish.</w:t>
      </w:r>
    </w:p>
    <w:p>
      <w:pPr>
        <w:spacing w:after="0" w:before="80"/>
      </w:pPr>
      <w:r>
        <w:t xml:space="preserve"/>
      </w:r>
    </w:p>
    <w:p>
      <w:r>
        <w:br w:type="page"/>
      </w:r>
    </w:p>
    <w:p>
      <w:pPr>
        <w:pStyle w:val="Heading2"/>
        <w:pBdr>
          <w:bottom w:val="single" w:color="0D6E8A" w:sz="4" w:space="1"/>
        </w:pBdr>
        <w:spacing w:after="120" w:before="280"/>
      </w:pPr>
      <w:r>
        <w:rPr>
          <w:rFonts w:ascii="Arial" w:cs="Arial" w:eastAsia="Arial" w:hAnsi="Arial"/>
          <w:b/>
          <w:bCs/>
          <w:color w:val="0D6E8A"/>
          <w:sz w:val="26"/>
          <w:szCs w:val="26"/>
        </w:rPr>
        <w:t xml:space="preserve">4  —  athenahealth Patient Portal</w:t>
      </w:r>
    </w:p>
    <w:p>
      <w:pPr>
        <w:spacing w:after="80" w:before="40"/>
      </w:pPr>
      <w:r>
        <w:rPr>
          <w:rFonts w:ascii="Arial" w:cs="Arial" w:eastAsia="Arial" w:hAnsi="Arial"/>
          <w:b/>
          <w:bCs/>
          <w:color w:val="0D6E8A"/>
          <w:sz w:val="20"/>
          <w:szCs w:val="20"/>
        </w:rPr>
        <w:t xml:space="preserve">Platform: </w:t>
      </w:r>
      <w:r>
        <w:rPr>
          <w:rFonts w:ascii="Arial" w:cs="Arial" w:eastAsia="Arial" w:hAnsi="Arial"/>
          <w:color w:val="2D3748"/>
          <w:sz w:val="20"/>
          <w:szCs w:val="20"/>
        </w:rPr>
        <w:t xml:space="preserve">athenaOne patient portal (web + athenaPatient mobile app)</w:t>
      </w:r>
    </w:p>
    <w:p>
      <w:pPr>
        <w:spacing w:after="80" w:before="40"/>
      </w:pPr>
      <w:r>
        <w:rPr>
          <w:rFonts w:ascii="Arial" w:cs="Arial" w:eastAsia="Arial" w:hAnsi="Arial"/>
          <w:b/>
          <w:bCs/>
          <w:color w:val="0D6E8A"/>
          <w:sz w:val="20"/>
          <w:szCs w:val="20"/>
        </w:rPr>
        <w:t xml:space="preserve">Access Model: </w:t>
      </w:r>
      <w:r>
        <w:rPr>
          <w:rFonts w:ascii="Arial" w:cs="Arial" w:eastAsia="Arial" w:hAnsi="Arial"/>
          <w:color w:val="2D3748"/>
          <w:sz w:val="20"/>
          <w:szCs w:val="20"/>
        </w:rPr>
        <w:t xml:space="preserve">Provider-branded portal — free to patients of athena practices</w:t>
      </w:r>
    </w:p>
    <w:p>
      <w:pPr>
        <w:spacing w:after="80" w:before="40"/>
      </w:pPr>
      <w:r>
        <w:rPr>
          <w:rFonts w:ascii="Arial" w:cs="Arial" w:eastAsia="Arial" w:hAnsi="Arial"/>
          <w:b/>
          <w:bCs/>
          <w:color w:val="0D6E8A"/>
          <w:sz w:val="20"/>
          <w:szCs w:val="20"/>
        </w:rPr>
        <w:t xml:space="preserve">Coverage: </w:t>
      </w:r>
      <w:r>
        <w:rPr>
          <w:rFonts w:ascii="Arial" w:cs="Arial" w:eastAsia="Arial" w:hAnsi="Arial"/>
          <w:color w:val="2D3748"/>
          <w:sz w:val="20"/>
          <w:szCs w:val="20"/>
        </w:rPr>
        <w:t xml:space="preserve">Nationwide across thousands of independent practices and health systems</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Key UX Patterns</w:t>
      </w:r>
    </w:p>
    <w:p>
      <w:pPr>
        <w:pStyle w:val="ListParagraph"/>
        <w:numPr>
          <w:ilvl w:val="0"/>
          <w:numId w:val="2"/>
        </w:numPr>
        <w:spacing w:after="60" w:before="40"/>
      </w:pPr>
      <w:r>
        <w:rPr>
          <w:rFonts w:ascii="Arial" w:cs="Arial" w:eastAsia="Arial" w:hAnsi="Arial"/>
          <w:color w:val="2D3748"/>
          <w:sz w:val="20"/>
          <w:szCs w:val="20"/>
        </w:rPr>
        <w:t xml:space="preserve">White-label branding: Practices can fully brand the portal with their logo and color scheme, making the experience feel like the practice’s own product. This is unique among the five platforms.</w:t>
      </w:r>
    </w:p>
    <w:p>
      <w:pPr>
        <w:pStyle w:val="ListParagraph"/>
        <w:numPr>
          <w:ilvl w:val="0"/>
          <w:numId w:val="2"/>
        </w:numPr>
        <w:spacing w:after="60" w:before="40"/>
      </w:pPr>
      <w:r>
        <w:rPr>
          <w:rFonts w:ascii="Arial" w:cs="Arial" w:eastAsia="Arial" w:hAnsi="Arial"/>
          <w:color w:val="2D3748"/>
          <w:sz w:val="20"/>
          <w:szCs w:val="20"/>
        </w:rPr>
        <w:t xml:space="preserve">Bidirectional clinical document attachment: As of Summer 2025, both patients and providers can attach clinical documents to portal messages, improving the quality of async communication.</w:t>
      </w:r>
    </w:p>
    <w:p>
      <w:pPr>
        <w:pStyle w:val="ListParagraph"/>
        <w:numPr>
          <w:ilvl w:val="0"/>
          <w:numId w:val="2"/>
        </w:numPr>
        <w:spacing w:after="60" w:before="40"/>
      </w:pPr>
      <w:r>
        <w:rPr>
          <w:rFonts w:ascii="Arial" w:cs="Arial" w:eastAsia="Arial" w:hAnsi="Arial"/>
          <w:color w:val="2D3748"/>
          <w:sz w:val="20"/>
          <w:szCs w:val="20"/>
        </w:rPr>
        <w:t xml:space="preserve">FHIR-based health record aggregation: Through a partnership with b.well, patients can pull records from non-athena EHRs into a unified view and generate a QR code that any clinician can scan, regardless of their EHR.</w:t>
      </w:r>
    </w:p>
    <w:p>
      <w:pPr>
        <w:pStyle w:val="ListParagraph"/>
        <w:numPr>
          <w:ilvl w:val="0"/>
          <w:numId w:val="2"/>
        </w:numPr>
        <w:spacing w:after="60" w:before="40"/>
      </w:pPr>
      <w:r>
        <w:rPr>
          <w:rFonts w:ascii="Arial" w:cs="Arial" w:eastAsia="Arial" w:hAnsi="Arial"/>
          <w:color w:val="2D3748"/>
          <w:sz w:val="20"/>
          <w:szCs w:val="20"/>
        </w:rPr>
        <w:t xml:space="preserve">Seamless telehealth in-app: The athenaPatient app (Fall 2025) joins telehealth calls without launching a browser, keeping patients within a single interface.</w:t>
      </w:r>
    </w:p>
    <w:p>
      <w:pPr>
        <w:pStyle w:val="ListParagraph"/>
        <w:numPr>
          <w:ilvl w:val="0"/>
          <w:numId w:val="2"/>
        </w:numPr>
        <w:spacing w:after="60" w:before="40"/>
      </w:pPr>
      <w:r>
        <w:rPr>
          <w:rFonts w:ascii="Arial" w:cs="Arial" w:eastAsia="Arial" w:hAnsi="Arial"/>
          <w:color w:val="2D3748"/>
          <w:sz w:val="20"/>
          <w:szCs w:val="20"/>
        </w:rPr>
        <w:t xml:space="preserve">AI text messaging (Patient Conversations): Two-way AI-powered SMS introduced in 2026, enabling conversational appointment reminders, follow-up prompts, and care gap outreach via text.</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Well</w:t>
      </w:r>
    </w:p>
    <w:p>
      <w:pPr>
        <w:pStyle w:val="ListParagraph"/>
        <w:numPr>
          <w:ilvl w:val="0"/>
          <w:numId w:val="2"/>
        </w:numPr>
        <w:spacing w:after="60" w:before="40"/>
      </w:pPr>
      <w:r>
        <w:rPr>
          <w:rFonts w:ascii="Arial" w:cs="Arial" w:eastAsia="Arial" w:hAnsi="Arial"/>
          <w:color w:val="2D3748"/>
          <w:sz w:val="20"/>
          <w:szCs w:val="20"/>
        </w:rPr>
        <w:t xml:space="preserve">White-label flexibility: The ability to brand the portal at the practice level is a significant B2B differentiator, enabling independent practices and regional systems to maintain their identity without building custom technology.</w:t>
      </w:r>
    </w:p>
    <w:p>
      <w:pPr>
        <w:pStyle w:val="ListParagraph"/>
        <w:numPr>
          <w:ilvl w:val="0"/>
          <w:numId w:val="2"/>
        </w:numPr>
        <w:spacing w:after="60" w:before="40"/>
      </w:pPr>
      <w:r>
        <w:rPr>
          <w:rFonts w:ascii="Arial" w:cs="Arial" w:eastAsia="Arial" w:hAnsi="Arial"/>
          <w:color w:val="2D3748"/>
          <w:sz w:val="20"/>
          <w:szCs w:val="20"/>
        </w:rPr>
        <w:t xml:space="preserve">FHIR record portability: The b.well integration is the most mature cross-system health record aggregation in the competitive set, addressing the fundamental problem of fragmented records.</w:t>
      </w:r>
    </w:p>
    <w:p>
      <w:pPr>
        <w:pStyle w:val="ListParagraph"/>
        <w:numPr>
          <w:ilvl w:val="0"/>
          <w:numId w:val="2"/>
        </w:numPr>
        <w:spacing w:after="60" w:before="40"/>
      </w:pPr>
      <w:r>
        <w:rPr>
          <w:rFonts w:ascii="Arial" w:cs="Arial" w:eastAsia="Arial" w:hAnsi="Arial"/>
          <w:color w:val="2D3748"/>
          <w:sz w:val="20"/>
          <w:szCs w:val="20"/>
        </w:rPr>
        <w:t xml:space="preserve">Breadth of network: Serving practices from solo physicians to large multi-specialty groups, athenahealth’s patient portal reaches a far broader provider population than any single health system portal.</w:t>
      </w:r>
    </w:p>
    <w:p>
      <w:pPr>
        <w:pStyle w:val="ListParagraph"/>
        <w:numPr>
          <w:ilvl w:val="0"/>
          <w:numId w:val="2"/>
        </w:numPr>
        <w:spacing w:after="60" w:before="40"/>
      </w:pPr>
      <w:r>
        <w:rPr>
          <w:rFonts w:ascii="Arial" w:cs="Arial" w:eastAsia="Arial" w:hAnsi="Arial"/>
          <w:color w:val="2D3748"/>
          <w:sz w:val="20"/>
          <w:szCs w:val="20"/>
        </w:rPr>
        <w:t xml:space="preserve">Frequent release cadence: With 170+ feature updates per release (Summer 2025), athenahealth iterates rapidly and incorporates direct customer input into prioritization.</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Poorly</w:t>
      </w:r>
    </w:p>
    <w:p>
      <w:pPr>
        <w:pStyle w:val="ListParagraph"/>
        <w:numPr>
          <w:ilvl w:val="0"/>
          <w:numId w:val="2"/>
        </w:numPr>
        <w:spacing w:after="60" w:before="40"/>
      </w:pPr>
      <w:r>
        <w:rPr>
          <w:rFonts w:ascii="Arial" w:cs="Arial" w:eastAsia="Arial" w:hAnsi="Arial"/>
          <w:color w:val="2D3748"/>
          <w:sz w:val="20"/>
          <w:szCs w:val="20"/>
        </w:rPr>
        <w:t xml:space="preserve">Patient experience is secondary to provider experience: athenahealth’s product is fundamentally built for the practice workflow, and the patient-facing portal reflects this priority. Patient-first UX patterns are layered on rather than foundational.</w:t>
      </w:r>
    </w:p>
    <w:p>
      <w:pPr>
        <w:pStyle w:val="ListParagraph"/>
        <w:numPr>
          <w:ilvl w:val="0"/>
          <w:numId w:val="2"/>
        </w:numPr>
        <w:spacing w:after="60" w:before="40"/>
      </w:pPr>
      <w:r>
        <w:rPr>
          <w:rFonts w:ascii="Arial" w:cs="Arial" w:eastAsia="Arial" w:hAnsi="Arial"/>
          <w:color w:val="2D3748"/>
          <w:sz w:val="20"/>
          <w:szCs w:val="20"/>
        </w:rPr>
        <w:t xml:space="preserve">Inconsistency across implementations: Because each practice configures the portal differently, a patient who sees multiple providers on the athena network may encounter different UIs, feature sets, and notification behaviors.</w:t>
      </w:r>
    </w:p>
    <w:p>
      <w:pPr>
        <w:pStyle w:val="ListParagraph"/>
        <w:numPr>
          <w:ilvl w:val="0"/>
          <w:numId w:val="2"/>
        </w:numPr>
        <w:spacing w:after="60" w:before="40"/>
      </w:pPr>
      <w:r>
        <w:rPr>
          <w:rFonts w:ascii="Arial" w:cs="Arial" w:eastAsia="Arial" w:hAnsi="Arial"/>
          <w:color w:val="2D3748"/>
          <w:sz w:val="20"/>
          <w:szCs w:val="20"/>
        </w:rPr>
        <w:t xml:space="preserve">Request-based scheduling model: Most athena portal implementations offer appointment ‘requests’ rather than real-time booking, introducing staff back-and-forth and defeating the purpose of a self-service portal.</w:t>
      </w:r>
    </w:p>
    <w:p>
      <w:pPr>
        <w:pStyle w:val="ListParagraph"/>
        <w:numPr>
          <w:ilvl w:val="0"/>
          <w:numId w:val="2"/>
        </w:numPr>
        <w:spacing w:after="60" w:before="40"/>
      </w:pPr>
      <w:r>
        <w:rPr>
          <w:rFonts w:ascii="Arial" w:cs="Arial" w:eastAsia="Arial" w:hAnsi="Arial"/>
          <w:color w:val="2D3748"/>
          <w:sz w:val="20"/>
          <w:szCs w:val="20"/>
        </w:rPr>
        <w:t xml:space="preserve">Limited consumer-facing brand identity: athenahealth is almost invisible to patients as a brand. The benefit of white-labeling to the practice is offset by zero consumer brand equity.</w:t>
      </w:r>
    </w:p>
    <w:p>
      <w:pPr>
        <w:spacing w:after="0" w:before="80"/>
      </w:pPr>
      <w:r>
        <w:t xml:space="preserve"/>
      </w:r>
    </w:p>
    <w:p>
      <w:r>
        <w:br w:type="page"/>
      </w:r>
    </w:p>
    <w:p>
      <w:pPr>
        <w:pStyle w:val="Heading2"/>
        <w:pBdr>
          <w:bottom w:val="single" w:color="0D6E8A" w:sz="4" w:space="1"/>
        </w:pBdr>
        <w:spacing w:after="120" w:before="280"/>
      </w:pPr>
      <w:r>
        <w:rPr>
          <w:rFonts w:ascii="Arial" w:cs="Arial" w:eastAsia="Arial" w:hAnsi="Arial"/>
          <w:b/>
          <w:bCs/>
          <w:color w:val="0D6E8A"/>
          <w:sz w:val="26"/>
          <w:szCs w:val="26"/>
        </w:rPr>
        <w:t xml:space="preserve">5  —  Cleveland Clinic  (MyChart by Epic)</w:t>
      </w:r>
    </w:p>
    <w:p>
      <w:pPr>
        <w:spacing w:after="80" w:before="40"/>
      </w:pPr>
      <w:r>
        <w:rPr>
          <w:rFonts w:ascii="Arial" w:cs="Arial" w:eastAsia="Arial" w:hAnsi="Arial"/>
          <w:b/>
          <w:bCs/>
          <w:color w:val="0D6E8A"/>
          <w:sz w:val="20"/>
          <w:szCs w:val="20"/>
        </w:rPr>
        <w:t xml:space="preserve">Platform: </w:t>
      </w:r>
      <w:r>
        <w:rPr>
          <w:rFonts w:ascii="Arial" w:cs="Arial" w:eastAsia="Arial" w:hAnsi="Arial"/>
          <w:color w:val="2D3748"/>
          <w:sz w:val="20"/>
          <w:szCs w:val="20"/>
        </w:rPr>
        <w:t xml:space="preserve">Epic MyChart (Cleveland Clinic implementation)</w:t>
      </w:r>
    </w:p>
    <w:p>
      <w:pPr>
        <w:spacing w:after="80" w:before="40"/>
      </w:pPr>
      <w:r>
        <w:rPr>
          <w:rFonts w:ascii="Arial" w:cs="Arial" w:eastAsia="Arial" w:hAnsi="Arial"/>
          <w:b/>
          <w:bCs/>
          <w:color w:val="0D6E8A"/>
          <w:sz w:val="20"/>
          <w:szCs w:val="20"/>
        </w:rPr>
        <w:t xml:space="preserve">Access Model: </w:t>
      </w:r>
      <w:r>
        <w:rPr>
          <w:rFonts w:ascii="Arial" w:cs="Arial" w:eastAsia="Arial" w:hAnsi="Arial"/>
          <w:color w:val="2D3748"/>
          <w:sz w:val="20"/>
          <w:szCs w:val="20"/>
        </w:rPr>
        <w:t xml:space="preserve">Integrated health system portal — free to Cleveland Clinic patients</w:t>
      </w:r>
    </w:p>
    <w:p>
      <w:pPr>
        <w:spacing w:after="80" w:before="40"/>
      </w:pPr>
      <w:r>
        <w:rPr>
          <w:rFonts w:ascii="Arial" w:cs="Arial" w:eastAsia="Arial" w:hAnsi="Arial"/>
          <w:b/>
          <w:bCs/>
          <w:color w:val="0D6E8A"/>
          <w:sz w:val="20"/>
          <w:szCs w:val="20"/>
        </w:rPr>
        <w:t xml:space="preserve">Coverage: </w:t>
      </w:r>
      <w:r>
        <w:rPr>
          <w:rFonts w:ascii="Arial" w:cs="Arial" w:eastAsia="Arial" w:hAnsi="Arial"/>
          <w:color w:val="2D3748"/>
          <w:sz w:val="20"/>
          <w:szCs w:val="20"/>
        </w:rPr>
        <w:t xml:space="preserve">Ohio, Florida, Nevada (US), plus international locations</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Key UX Patterns</w:t>
      </w:r>
    </w:p>
    <w:p>
      <w:pPr>
        <w:pStyle w:val="ListParagraph"/>
        <w:numPr>
          <w:ilvl w:val="0"/>
          <w:numId w:val="2"/>
        </w:numPr>
        <w:spacing w:after="60" w:before="40"/>
      </w:pPr>
      <w:r>
        <w:rPr>
          <w:rFonts w:ascii="Arial" w:cs="Arial" w:eastAsia="Arial" w:hAnsi="Arial"/>
          <w:color w:val="2D3748"/>
          <w:sz w:val="20"/>
          <w:szCs w:val="20"/>
        </w:rPr>
        <w:t xml:space="preserve">PreCheck-In up to one week before appointments: Patients can verify demographics, update medications/allergies, complete insurance updates, sign forms, and complete pre-visit questionnaires — reducing appointment-day administrative friction to near zero.</w:t>
      </w:r>
    </w:p>
    <w:p>
      <w:pPr>
        <w:pStyle w:val="ListParagraph"/>
        <w:numPr>
          <w:ilvl w:val="0"/>
          <w:numId w:val="2"/>
        </w:numPr>
        <w:spacing w:after="60" w:before="40"/>
      </w:pPr>
      <w:r>
        <w:rPr>
          <w:rFonts w:ascii="Arial" w:cs="Arial" w:eastAsia="Arial" w:hAnsi="Arial"/>
          <w:color w:val="2D3748"/>
          <w:sz w:val="20"/>
          <w:szCs w:val="20"/>
        </w:rPr>
        <w:t xml:space="preserve">Inpatient portal access during hospital stays: A pilot program allows admitted patients to review their prescriptions, scheduled daily treatments, diagnostic tests, and their care team’s names and photos from their hospital bed, in real time.</w:t>
      </w:r>
    </w:p>
    <w:p>
      <w:pPr>
        <w:pStyle w:val="ListParagraph"/>
        <w:numPr>
          <w:ilvl w:val="0"/>
          <w:numId w:val="2"/>
        </w:numPr>
        <w:spacing w:after="60" w:before="40"/>
      </w:pPr>
      <w:r>
        <w:rPr>
          <w:rFonts w:ascii="Arial" w:cs="Arial" w:eastAsia="Arial" w:hAnsi="Arial"/>
          <w:color w:val="2D3748"/>
          <w:sz w:val="20"/>
          <w:szCs w:val="20"/>
        </w:rPr>
        <w:t xml:space="preserve">Immediate lab result release: Results are made available as soon as they are finalized, alongside context from the ordering provider, rather than being held until the provider reviews them.</w:t>
      </w:r>
    </w:p>
    <w:p>
      <w:pPr>
        <w:pStyle w:val="ListParagraph"/>
        <w:numPr>
          <w:ilvl w:val="0"/>
          <w:numId w:val="2"/>
        </w:numPr>
        <w:spacing w:after="60" w:before="40"/>
      </w:pPr>
      <w:r>
        <w:rPr>
          <w:rFonts w:ascii="Arial" w:cs="Arial" w:eastAsia="Arial" w:hAnsi="Arial"/>
          <w:color w:val="2D3748"/>
          <w:sz w:val="20"/>
          <w:szCs w:val="20"/>
        </w:rPr>
        <w:t xml:space="preserve">Itemized billing with insurance transparency: Patients can see detailed, line-by-line billing statements that show both what was submitted to insurance and what is owed, alongside the ability to set up payment plans.</w:t>
      </w:r>
    </w:p>
    <w:p>
      <w:pPr>
        <w:pStyle w:val="ListParagraph"/>
        <w:numPr>
          <w:ilvl w:val="0"/>
          <w:numId w:val="2"/>
        </w:numPr>
        <w:spacing w:after="60" w:before="40"/>
      </w:pPr>
      <w:r>
        <w:rPr>
          <w:rFonts w:ascii="Arial" w:cs="Arial" w:eastAsia="Arial" w:hAnsi="Arial"/>
          <w:color w:val="2D3748"/>
          <w:sz w:val="20"/>
          <w:szCs w:val="20"/>
        </w:rPr>
        <w:t xml:space="preserve">Care team photos and direct contact: Similar to Sutter, Cleveland Clinic’s implementation surfaces care team member photos and direct calendar/message links, reducing the impersonality of a large institution.</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Well</w:t>
      </w:r>
    </w:p>
    <w:p>
      <w:pPr>
        <w:pStyle w:val="ListParagraph"/>
        <w:numPr>
          <w:ilvl w:val="0"/>
          <w:numId w:val="2"/>
        </w:numPr>
        <w:spacing w:after="60" w:before="40"/>
      </w:pPr>
      <w:r>
        <w:rPr>
          <w:rFonts w:ascii="Arial" w:cs="Arial" w:eastAsia="Arial" w:hAnsi="Arial"/>
          <w:color w:val="2D3748"/>
          <w:sz w:val="20"/>
          <w:szCs w:val="20"/>
        </w:rPr>
        <w:t xml:space="preserve">PreCheck-In UX: The ability to complete all administrative tasks up to a week in advance is the most patient-friendly pre-visit experience in the competitive set. It demonstrably reduces wait times and day-of anxiety.</w:t>
      </w:r>
    </w:p>
    <w:p>
      <w:pPr>
        <w:pStyle w:val="ListParagraph"/>
        <w:numPr>
          <w:ilvl w:val="0"/>
          <w:numId w:val="2"/>
        </w:numPr>
        <w:spacing w:after="60" w:before="40"/>
      </w:pPr>
      <w:r>
        <w:rPr>
          <w:rFonts w:ascii="Arial" w:cs="Arial" w:eastAsia="Arial" w:hAnsi="Arial"/>
          <w:color w:val="2D3748"/>
          <w:sz w:val="20"/>
          <w:szCs w:val="20"/>
        </w:rPr>
        <w:t xml:space="preserve">Inpatient access innovation: Providing real-time access to care schedules, medication lists, and care team info during a hospital admission is a meaningful differentiator — no other platform in this analysis matches it.</w:t>
      </w:r>
    </w:p>
    <w:p>
      <w:pPr>
        <w:pStyle w:val="ListParagraph"/>
        <w:numPr>
          <w:ilvl w:val="0"/>
          <w:numId w:val="2"/>
        </w:numPr>
        <w:spacing w:after="60" w:before="40"/>
      </w:pPr>
      <w:r>
        <w:rPr>
          <w:rFonts w:ascii="Arial" w:cs="Arial" w:eastAsia="Arial" w:hAnsi="Arial"/>
          <w:color w:val="2D3748"/>
          <w:sz w:val="20"/>
          <w:szCs w:val="20"/>
        </w:rPr>
        <w:t xml:space="preserve">Transparent billing: Cleveland Clinic’s itemized billing view, while complex, gives patients genuinely useful information about what their insurance was charged versus what they owe.</w:t>
      </w:r>
    </w:p>
    <w:p>
      <w:pPr>
        <w:pStyle w:val="ListParagraph"/>
        <w:numPr>
          <w:ilvl w:val="0"/>
          <w:numId w:val="2"/>
        </w:numPr>
        <w:spacing w:after="60" w:before="40"/>
      </w:pPr>
      <w:r>
        <w:rPr>
          <w:rFonts w:ascii="Arial" w:cs="Arial" w:eastAsia="Arial" w:hAnsi="Arial"/>
          <w:color w:val="2D3748"/>
          <w:sz w:val="20"/>
          <w:szCs w:val="20"/>
        </w:rPr>
        <w:t xml:space="preserve">Specialty care integration depth: As a world-leading multi-specialty academic medical center, Cleveland Clinic’s portal integrates across oncology, cardiology, neurology, and surgery in ways that community health system portals cannot.</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What They Do Poorly</w:t>
      </w:r>
    </w:p>
    <w:p>
      <w:pPr>
        <w:pStyle w:val="ListParagraph"/>
        <w:numPr>
          <w:ilvl w:val="0"/>
          <w:numId w:val="2"/>
        </w:numPr>
        <w:spacing w:after="60" w:before="40"/>
      </w:pPr>
      <w:r>
        <w:rPr>
          <w:rFonts w:ascii="Arial" w:cs="Arial" w:eastAsia="Arial" w:hAnsi="Arial"/>
          <w:color w:val="2D3748"/>
          <w:sz w:val="20"/>
          <w:szCs w:val="20"/>
        </w:rPr>
        <w:t xml:space="preserve">Navigation is still generic Epic: Like Sutter Health, Cleveland Clinic’s portal is visually and architecturally a standard MyChart implementation. The brand experience does not reflect the clinical prestige of the institution.</w:t>
      </w:r>
    </w:p>
    <w:p>
      <w:pPr>
        <w:pStyle w:val="ListParagraph"/>
        <w:numPr>
          <w:ilvl w:val="0"/>
          <w:numId w:val="2"/>
        </w:numPr>
        <w:spacing w:after="60" w:before="40"/>
      </w:pPr>
      <w:r>
        <w:rPr>
          <w:rFonts w:ascii="Arial" w:cs="Arial" w:eastAsia="Arial" w:hAnsi="Arial"/>
          <w:color w:val="2D3748"/>
          <w:sz w:val="20"/>
          <w:szCs w:val="20"/>
        </w:rPr>
        <w:t xml:space="preserve">Inpatient portal is pilot-only: The most innovative UX feature (inpatient real-time access) was still a limited pilot as of 2025, available to only a fraction of admitted patients.</w:t>
      </w:r>
    </w:p>
    <w:p>
      <w:pPr>
        <w:pStyle w:val="ListParagraph"/>
        <w:numPr>
          <w:ilvl w:val="0"/>
          <w:numId w:val="2"/>
        </w:numPr>
        <w:spacing w:after="60" w:before="40"/>
      </w:pPr>
      <w:r>
        <w:rPr>
          <w:rFonts w:ascii="Arial" w:cs="Arial" w:eastAsia="Arial" w:hAnsi="Arial"/>
          <w:color w:val="2D3748"/>
          <w:sz w:val="20"/>
          <w:szCs w:val="20"/>
        </w:rPr>
        <w:t xml:space="preserve">Limited AI integration: Cleveland Clinic has not announced AI-powered navigation or lab result interpretation features comparable to Kaiser’s KPIN or One Medical’s Health Insights, placing it behind on the intelligence curve.</w:t>
      </w:r>
    </w:p>
    <w:p>
      <w:pPr>
        <w:pStyle w:val="ListParagraph"/>
        <w:numPr>
          <w:ilvl w:val="0"/>
          <w:numId w:val="2"/>
        </w:numPr>
        <w:spacing w:after="60" w:before="40"/>
      </w:pPr>
      <w:r>
        <w:rPr>
          <w:rFonts w:ascii="Arial" w:cs="Arial" w:eastAsia="Arial" w:hAnsi="Arial"/>
          <w:color w:val="2D3748"/>
          <w:sz w:val="20"/>
          <w:szCs w:val="20"/>
        </w:rPr>
        <w:t xml:space="preserve">Mobile notification reliability issues: Published app store reviews indicate inconsistent push notification delivery for messages, lab results, and appointment reminders, undermining the timeliness that patients rely on.</w:t>
      </w:r>
    </w:p>
    <w:p>
      <w:pPr>
        <w:pStyle w:val="ListParagraph"/>
        <w:numPr>
          <w:ilvl w:val="0"/>
          <w:numId w:val="2"/>
        </w:numPr>
        <w:spacing w:after="60" w:before="40"/>
      </w:pPr>
      <w:r>
        <w:rPr>
          <w:rFonts w:ascii="Arial" w:cs="Arial" w:eastAsia="Arial" w:hAnsi="Arial"/>
          <w:color w:val="2D3748"/>
          <w:sz w:val="20"/>
          <w:szCs w:val="20"/>
        </w:rPr>
        <w:t xml:space="preserve">Specialist scheduling friction: Booking specialist appointments frequently requires a referral workflow that bypasses the portal entirely, leaving patients to call the scheduling line.</w:t>
      </w:r>
    </w:p>
    <w:p>
      <w:pPr>
        <w:spacing w:after="0" w:before="80"/>
      </w:pPr>
      <w:r>
        <w:t xml:space="preserve"/>
      </w:r>
    </w:p>
    <w:p>
      <w:r>
        <w:br w:type="page"/>
      </w:r>
    </w:p>
    <w:p>
      <w:pPr>
        <w:pStyle w:val="Heading1"/>
        <w:spacing w:after="200" w:before="360"/>
      </w:pPr>
      <w:r>
        <w:rPr>
          <w:rFonts w:ascii="Arial" w:cs="Arial" w:eastAsia="Arial" w:hAnsi="Arial"/>
          <w:b/>
          <w:bCs/>
          <w:color w:val="1A3A5C"/>
          <w:sz w:val="32"/>
          <w:szCs w:val="32"/>
        </w:rPr>
        <w:t xml:space="preserve">Summary Comparison Table</w:t>
      </w:r>
    </w:p>
    <w:p>
      <w:pPr>
        <w:spacing w:after="100" w:before="60"/>
        <w:jc w:val="left"/>
      </w:pPr>
      <w:r>
        <w:rPr>
          <w:rFonts w:ascii="Arial" w:cs="Arial" w:eastAsia="Arial" w:hAnsi="Arial"/>
          <w:color w:val="2D3748"/>
          <w:sz w:val="20"/>
          <w:szCs w:val="20"/>
        </w:rPr>
        <w:t xml:space="preserve">The table below provides a side-by-side overview of all five competitors across seven evaluation dimensions.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36"/>
        <w:gridCol w:w="1536"/>
        <w:gridCol w:w="1536"/>
        <w:gridCol w:w="1536"/>
        <w:gridCol w:w="1536"/>
      </w:tblGrid>
      <w:tr>
        <w:trPr>
          <w:tblHeader/>
        </w:trPr>
        <w:tc>
          <w:tcPr>
            <w:tcW w:type="dxa" w:w="1680"/>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Dimension</w:t>
            </w:r>
          </w:p>
        </w:tc>
        <w:tc>
          <w:tcPr>
            <w:tcW w:type="dxa" w:w="1536"/>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Sutter Health</w:t>
            </w:r>
          </w:p>
        </w:tc>
        <w:tc>
          <w:tcPr>
            <w:tcW w:type="dxa" w:w="1536"/>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Kaiser Permanente</w:t>
            </w:r>
          </w:p>
        </w:tc>
        <w:tc>
          <w:tcPr>
            <w:tcW w:type="dxa" w:w="1536"/>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One Medical</w:t>
            </w:r>
          </w:p>
        </w:tc>
        <w:tc>
          <w:tcPr>
            <w:tcW w:type="dxa" w:w="1536"/>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athenahealth</w:t>
            </w:r>
          </w:p>
        </w:tc>
        <w:tc>
          <w:tcPr>
            <w:tcW w:type="dxa" w:w="1536"/>
            <w:tcBorders>
              <w:top w:val="single" w:color="C0CDD8" w:sz="1"/>
              <w:left w:val="single" w:color="C0CDD8" w:sz="1"/>
              <w:bottom w:val="single" w:color="C0CDD8" w:sz="1"/>
              <w:right w:val="single" w:color="C0CDD8" w:sz="1"/>
            </w:tcBorders>
            <w:shd w:fill="0D6E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Cleveland Clinic</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Platform / Engine</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Epic MyChart</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Proprietary + KPIN AI</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Proprietary + Amazon AI</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athenaOne Portal</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Epic MyChart</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Navigation Model</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Shortcut bar + hamburger menu + Quick Actions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Menu + AI free-text (KPIN, SoCal only)</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Chat-first AI assistant</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Menu (white-labeled per practice)</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Dashboard + hamburger menu</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AI / Smart Features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Notification-driven updates; limited AI</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KPIN NLP navigator; care routing AI</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Conversational AI; Health Insights (50+ biomarkers)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AI text messaging (Patient Conversations, 2026)</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Minimal AI; strong clinical data access</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Top Strength</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Personalized dashboard + care team visibility</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Insurer-provider integration + AI routing</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Consumer UX + lab result interpretation</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White-label + FHIR record portability</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PreCheck-In + inpatient portal access</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Top Weakness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Mobile nav overload; generic branding</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Closed ecosystem; KPIN rollout limited</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Membership paywall; billing failures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Provider-first design; inconsistent UX across practices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Generic Epic UI; limited AI; mobile notification issues</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Lab Result UX</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Results listed; no interpretation</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Results available; context varies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Plain-language Health Insights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Results available; no interpretation layer</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Immediate release; provider context included</w:t>
            </w:r>
          </w:p>
        </w:tc>
      </w:tr>
      <w:tr>
        <w:tc>
          <w:tcPr>
            <w:tcW w:type="dxa" w:w="1680"/>
            <w:tcBorders>
              <w:top w:val="single" w:color="C0CDD8" w:sz="1"/>
              <w:left w:val="single" w:color="C0CDD8" w:sz="1"/>
              <w:bottom w:val="single" w:color="C0CDD8" w:sz="1"/>
              <w:right w:val="single" w:color="C0CDD8" w:sz="1"/>
            </w:tcBorders>
            <w:shd w:fill="F2F4F6" w:val="clear"/>
            <w:tcMar>
              <w:top w:type="dxa" w:w="80"/>
              <w:left w:type="dxa" w:w="120"/>
              <w:bottom w:type="dxa" w:w="80"/>
              <w:right w:type="dxa" w:w="120"/>
            </w:tcMar>
            <w:vAlign w:val="top"/>
          </w:tcPr>
          <w:p>
            <w:pPr>
              <w:jc w:val="left"/>
            </w:pPr>
            <w:r>
              <w:rPr>
                <w:rFonts w:ascii="Arial" w:cs="Arial" w:eastAsia="Arial" w:hAnsi="Arial"/>
                <w:b/>
                <w:bCs/>
                <w:color w:val="2D3748"/>
                <w:sz w:val="18"/>
                <w:szCs w:val="18"/>
              </w:rPr>
              <w:t xml:space="preserve">Scheduling Model</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Real-time booking for select providers</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Real-time booking; AI-assisted routing</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Same-day/next-day booking prominent</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Request-based (mostly); some real-time</w:t>
            </w:r>
          </w:p>
        </w:tc>
        <w:tc>
          <w:tcPr>
            <w:tcW w:type="dxa" w:w="153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2D3748"/>
                <w:sz w:val="18"/>
                <w:szCs w:val="18"/>
              </w:rPr>
              <w:t xml:space="preserve">Real-time for primary care; referral required for specialty</w:t>
            </w:r>
          </w:p>
        </w:tc>
      </w:tr>
    </w:tbl>
    <w:p>
      <w:pPr>
        <w:spacing w:after="0" w:before="80"/>
      </w:pPr>
      <w:r>
        <w:t xml:space="preserve"/>
      </w:r>
    </w:p>
    <w:p>
      <w:r>
        <w:br w:type="page"/>
      </w:r>
    </w:p>
    <w:p>
      <w:pPr>
        <w:pStyle w:val="Heading1"/>
        <w:spacing w:after="200" w:before="360"/>
      </w:pPr>
      <w:r>
        <w:rPr>
          <w:rFonts w:ascii="Arial" w:cs="Arial" w:eastAsia="Arial" w:hAnsi="Arial"/>
          <w:b/>
          <w:bCs/>
          <w:color w:val="1A3A5C"/>
          <w:sz w:val="32"/>
          <w:szCs w:val="32"/>
        </w:rPr>
        <w:t xml:space="preserve">Whitespace Opportunities</w:t>
      </w:r>
    </w:p>
    <w:p>
      <w:pPr>
        <w:spacing w:after="100" w:before="60"/>
        <w:jc w:val="left"/>
      </w:pPr>
      <w:r>
        <w:rPr>
          <w:rFonts w:ascii="Arial" w:cs="Arial" w:eastAsia="Arial" w:hAnsi="Arial"/>
          <w:color w:val="2D3748"/>
          <w:sz w:val="20"/>
          <w:szCs w:val="20"/>
        </w:rPr>
        <w:t xml:space="preserve">The following are unmet patient needs that none of the five competitors are solving well. These represent meaningful design and product opportunities for a portal looking to differentiate in the next 2–3 years.</w:t>
      </w:r>
    </w:p>
    <w:p>
      <w:pPr>
        <w:spacing w:after="80" w:before="100"/>
      </w:pPr>
      <w:r>
        <w:t xml:space="preserve"/>
      </w:r>
    </w:p>
    <w:p>
      <w:pPr>
        <w:pStyle w:val="Heading3"/>
        <w:spacing w:after="80" w:before="200"/>
      </w:pPr>
      <w:r>
        <w:rPr>
          <w:rFonts w:ascii="Arial" w:cs="Arial" w:eastAsia="Arial" w:hAnsi="Arial"/>
          <w:b/>
          <w:bCs/>
          <w:color w:val="1A3A5C"/>
          <w:sz w:val="22"/>
          <w:szCs w:val="22"/>
        </w:rPr>
        <w:t xml:space="preserve">1  —  Longitudinal Health Trend Visualization</w:t>
      </w:r>
    </w:p>
    <w:p>
      <w:pPr>
        <w:spacing w:after="100" w:before="60"/>
        <w:jc w:val="left"/>
      </w:pPr>
      <w:r>
        <w:rPr>
          <w:rFonts w:ascii="Arial" w:cs="Arial" w:eastAsia="Arial" w:hAnsi="Arial"/>
          <w:color w:val="2D3748"/>
          <w:sz w:val="20"/>
          <w:szCs w:val="20"/>
        </w:rPr>
        <w:t xml:space="preserve">No portal offers a compelling, integrated health dashboard where patients can see their weight, blood pressure, cholesterol, A1C, and key lab values trending over months or years in a single view. Data exists in all five platforms, but it is buried in individual result records rather than surfaced as a health narrative. A patient-facing trends layer — designed for health literacy, not clinical reference — would address one of the most frequently requested features in patient engagement research.</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2  —  Proactive, Personalized Health Coaching</w:t>
      </w:r>
    </w:p>
    <w:p>
      <w:pPr>
        <w:spacing w:after="100" w:before="60"/>
        <w:jc w:val="left"/>
      </w:pPr>
      <w:r>
        <w:rPr>
          <w:rFonts w:ascii="Arial" w:cs="Arial" w:eastAsia="Arial" w:hAnsi="Arial"/>
          <w:color w:val="2D3748"/>
          <w:sz w:val="20"/>
          <w:szCs w:val="20"/>
        </w:rPr>
        <w:t xml:space="preserve">Current portals are reactive: they surface what you asked for. None of the five platforms delivers genuinely proactive outreach based on the patient’s own data — for example, noticing that a patient’s blood pressure has been trending up across three visits and prompting them to message their care team before the next appointment. Kaiser’s KPIN and One Medical’s AI are closest, but both are still demand-driven rather than patient-initiated.</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3  —  Caregiver and Family Coordination</w:t>
      </w:r>
    </w:p>
    <w:p>
      <w:pPr>
        <w:spacing w:after="100" w:before="60"/>
        <w:jc w:val="left"/>
      </w:pPr>
      <w:r>
        <w:rPr>
          <w:rFonts w:ascii="Arial" w:cs="Arial" w:eastAsia="Arial" w:hAnsi="Arial"/>
          <w:color w:val="2D3748"/>
          <w:sz w:val="20"/>
          <w:szCs w:val="20"/>
        </w:rPr>
        <w:t xml:space="preserve">Managing healthcare for a dependent — an aging parent, a child with a chronic condition, a spouse after surgery — is a significant and underserved use case. Current proxy access models across all five platforms are cumbersome, require in-person consent processes, and provide the caregiver with a near-identical interface to the patient’s own portal rather than a purpose-built coordination view. A caregiver-specific UX layer with task checklists, multi-patient switching, appointment coordination, and shared note-taking would address a gap that affects tens of millions of users.</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4  —  Plain-Language Health Literacy Throughout</w:t>
      </w:r>
    </w:p>
    <w:p>
      <w:pPr>
        <w:spacing w:after="100" w:before="60"/>
        <w:jc w:val="left"/>
      </w:pPr>
      <w:r>
        <w:rPr>
          <w:rFonts w:ascii="Arial" w:cs="Arial" w:eastAsia="Arial" w:hAnsi="Arial"/>
          <w:color w:val="2D3748"/>
          <w:sz w:val="20"/>
          <w:szCs w:val="20"/>
        </w:rPr>
        <w:t xml:space="preserve">One Medical’s Health Insights addresses lab result interpretation, but all five platforms still expose raw clinical language across care summaries, after-visit notes, diagnosis codes, and medication instructions. There is significant whitespace for a portal that applies plain-language transformation across the entire clinical record — not just labs — making the portal genuinely usable for patients with lower health literacy, older adults, and non-native English speakers.</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5  —  Pre-Visit Preparation and Post-Visit Follow-Through</w:t>
      </w:r>
    </w:p>
    <w:p>
      <w:pPr>
        <w:spacing w:after="100" w:before="60"/>
        <w:jc w:val="left"/>
      </w:pPr>
      <w:r>
        <w:rPr>
          <w:rFonts w:ascii="Arial" w:cs="Arial" w:eastAsia="Arial" w:hAnsi="Arial"/>
          <w:color w:val="2D3748"/>
          <w:sz w:val="20"/>
          <w:szCs w:val="20"/>
        </w:rPr>
        <w:t xml:space="preserve">Cleveland Clinic’s PreCheck-In is the best in class for pre-visit administrative prep, but no portal yet offers a purpose-built pre-visit experience that helps patients prepare clinically — capturing the specific concerns they want to discuss, surfacing recent relevant data to review, or walking through what to expect from a procedure. Post-visit follow-up is equally underdeveloped: after-visit summaries exist, but they are rarely structured as actionable task lists with clear next steps, reminders to fill prescriptions, or scheduled follow-up nudges.</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6  —  Financial Navigation and Cost Transparency</w:t>
      </w:r>
    </w:p>
    <w:p>
      <w:pPr>
        <w:spacing w:after="100" w:before="60"/>
        <w:jc w:val="left"/>
      </w:pPr>
      <w:r>
        <w:rPr>
          <w:rFonts w:ascii="Arial" w:cs="Arial" w:eastAsia="Arial" w:hAnsi="Arial"/>
          <w:color w:val="2D3748"/>
          <w:sz w:val="20"/>
          <w:szCs w:val="20"/>
        </w:rPr>
        <w:t xml:space="preserve">All five platforms offer bill payment, but none delivers genuine pre-service cost transparency in a patient-friendly format. Knowing what a visit, lab test, or procedure will cost before it happens — integrated into the scheduling flow, accounting for the patient’s specific insurance and deductible status — remains one of the biggest unmet needs in patient experience. Cleveland Clinic’s itemized billing gets closer to post-service transparency, but pre-service estimates across all five are either absent or deeply buried.</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7  —  Accessibility-First Design for Older and Diverse Users</w:t>
      </w:r>
    </w:p>
    <w:p>
      <w:pPr>
        <w:spacing w:after="100" w:before="60"/>
        <w:jc w:val="left"/>
      </w:pPr>
      <w:r>
        <w:rPr>
          <w:rFonts w:ascii="Arial" w:cs="Arial" w:eastAsia="Arial" w:hAnsi="Arial"/>
          <w:color w:val="2D3748"/>
          <w:sz w:val="20"/>
          <w:szCs w:val="20"/>
        </w:rPr>
        <w:t xml:space="preserve">The fastest-growing demographic of patient portal users is adults over 65, yet all five portals appear designed for a digitally fluent user in their 30s–40s. Font size controls, high-contrast modes, simplified navigation modes, voice interface support, and multilingual content are either absent or require navigating to buried settings pages. A portal that treats accessibility as a design principle rather than a compliance checkbox would serve this demographic, and often improve the experience for all users in the process.</w:t>
      </w:r>
    </w:p>
    <w:p>
      <w:pPr>
        <w:spacing w:after="0" w:before="80"/>
      </w:pPr>
      <w:r>
        <w:t xml:space="preserve"/>
      </w:r>
    </w:p>
    <w:p>
      <w:r>
        <w:br w:type="page"/>
      </w:r>
    </w:p>
    <w:p>
      <w:pPr>
        <w:pStyle w:val="Heading1"/>
        <w:spacing w:after="200" w:before="360"/>
      </w:pPr>
      <w:r>
        <w:rPr>
          <w:rFonts w:ascii="Arial" w:cs="Arial" w:eastAsia="Arial" w:hAnsi="Arial"/>
          <w:b/>
          <w:bCs/>
          <w:color w:val="1A3A5C"/>
          <w:sz w:val="32"/>
          <w:szCs w:val="32"/>
        </w:rPr>
        <w:t xml:space="preserve">Strategic Recommendations</w:t>
      </w:r>
    </w:p>
    <w:p>
      <w:pPr>
        <w:spacing w:after="100" w:before="60"/>
        <w:jc w:val="left"/>
      </w:pPr>
      <w:r>
        <w:rPr>
          <w:rFonts w:ascii="Arial" w:cs="Arial" w:eastAsia="Arial" w:hAnsi="Arial"/>
          <w:color w:val="2D3748"/>
          <w:sz w:val="20"/>
          <w:szCs w:val="20"/>
        </w:rPr>
        <w:t xml:space="preserve">Based on the competitive analysis, the following UX priorities would most meaningfully differentiate a new or redesigned patient portal from the current field:</w:t>
      </w:r>
    </w:p>
    <w:p>
      <w:pPr>
        <w:spacing w:after="80" w:before="80"/>
      </w:pPr>
      <w:r>
        <w:t xml:space="preserve"/>
      </w:r>
    </w:p>
    <w:p>
      <w:pPr>
        <w:pStyle w:val="ListParagraph"/>
        <w:numPr>
          <w:ilvl w:val="0"/>
          <w:numId w:val="2"/>
        </w:numPr>
        <w:spacing w:after="60" w:before="40"/>
      </w:pPr>
      <w:r>
        <w:rPr>
          <w:rFonts w:ascii="Arial" w:cs="Arial" w:eastAsia="Arial" w:hAnsi="Arial"/>
          <w:color w:val="2D3748"/>
          <w:sz w:val="20"/>
          <w:szCs w:val="20"/>
        </w:rPr>
        <w:t xml:space="preserve">Lead with a personalized health narrative, not a task menu. The platforms that feel most differentiated (One Medical, Kaiser KPIN) lead with intelligence and personalization. A home screen organized around "your health story right now" — trends, upcoming needs, unresolved items — will outperform a menu-based home screen regardless of depth.</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Make lab results and clinical language human. Health Insights is the most impactful single feature in the competitive set. Applying plain-language transformation across all clinical content — not just labs — is achievable with current AI capabilities and would meaningfully improve health literacy outcomes.</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Build caregiver coordination as a first-class experience, not an afterthought. Proxy access exists on all five platforms; a genuine caregiver UX does not. This is a high-impact differentiator with a large, underserved user population.</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Invest in accessible design from the start. Color contrast, font size flexibility, simplified navigation modes, and multilingual support are not expensive features — but they signal care for all patients and not just the digitally confident ones.</w:t>
      </w:r>
    </w:p>
    <w:p>
      <w:pPr>
        <w:spacing w:after="40" w:before="40"/>
      </w:pPr>
      <w:r>
        <w:t xml:space="preserve"/>
      </w:r>
    </w:p>
    <w:p>
      <w:pPr>
        <w:pStyle w:val="ListParagraph"/>
        <w:numPr>
          <w:ilvl w:val="0"/>
          <w:numId w:val="2"/>
        </w:numPr>
        <w:spacing w:after="60" w:before="40"/>
      </w:pPr>
      <w:r>
        <w:rPr>
          <w:rFonts w:ascii="Arial" w:cs="Arial" w:eastAsia="Arial" w:hAnsi="Arial"/>
          <w:color w:val="2D3748"/>
          <w:sz w:val="20"/>
          <w:szCs w:val="20"/>
        </w:rPr>
        <w:t xml:space="preserve">Close the pre-service cost transparency gap. Pre-appointment cost estimates personalized to the patient’s insurance status would address one of the highest-anxiety moments in the patient journey and no current portal does this well.</w:t>
      </w:r>
    </w:p>
    <w:p>
      <w:pPr>
        <w:spacing w:after="0" w:before="200"/>
      </w:pPr>
      <w:r>
        <w:t xml:space="preserve"/>
      </w:r>
    </w:p>
    <w:p>
      <w:pPr>
        <w:jc w:val="center"/>
      </w:pPr>
      <w:r>
        <w:rPr>
          <w:rFonts w:ascii="Arial" w:cs="Arial" w:eastAsia="Arial" w:hAnsi="Arial"/>
          <w:i/>
          <w:iCs/>
          <w:color w:val="4A5568"/>
          <w:sz w:val="18"/>
          <w:szCs w:val="18"/>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8A" w:sz="4" w:space="4"/>
      </w:pBdr>
      <w:tabs>
        <w:tab w:val="right" w:pos="9360"/>
      </w:tabs>
      <w:jc w:val="left"/>
    </w:pPr>
    <w:r>
      <w:rPr>
        <w:rFonts w:ascii="Arial" w:cs="Arial" w:eastAsia="Arial" w:hAnsi="Arial"/>
        <w:color w:val="4A5568"/>
        <w:sz w:val="16"/>
        <w:szCs w:val="16"/>
      </w:rPr>
      <w:t xml:space="preserve">Confidential  |  UX Research</w:t>
    </w:r>
    <w:r>
      <w:rPr>
        <w:rFonts w:ascii="Arial" w:cs="Arial" w:eastAsia="Arial" w:hAnsi="Arial"/>
        <w:sz w:val="16"/>
        <w:szCs w:val="16"/>
      </w:rPr>
      <w:t xml:space="preserv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space="4"/>
      </w:pBdr>
      <w:tabs>
        <w:tab w:val="right" w:pos="9360"/>
      </w:tabs>
    </w:pPr>
    <w:r>
      <w:rPr>
        <w:rFonts w:ascii="Arial" w:cs="Arial" w:eastAsia="Arial" w:hAnsi="Arial"/>
        <w:color w:val="4A5568"/>
        <w:sz w:val="16"/>
        <w:szCs w:val="16"/>
      </w:rPr>
      <w:t xml:space="preserve">Patient Portal Competitive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6E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2026-04-08T19:30:20.982Z</dcterms:created>
  <dcterms:modified xsi:type="dcterms:W3CDTF">2026-04-08T19:30:20.982Z</dcterms:modified>
</cp:coreProperties>
</file>

<file path=docProps/custom.xml><?xml version="1.0" encoding="utf-8"?>
<Properties xmlns="http://schemas.openxmlformats.org/officeDocument/2006/custom-properties" xmlns:vt="http://schemas.openxmlformats.org/officeDocument/2006/docPropsVTypes"/>
</file>