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1D346C68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2D20C0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460EE955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Pr="00122C3C">
          <w:rPr>
            <w:rStyle w:val="Hyperlink"/>
          </w:rPr>
          <w:t>1.1 Contexto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FA1D0D" w14:textId="1CF2EDAE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Pr="00122C3C">
          <w:rPr>
            <w:rStyle w:val="Hyperlink"/>
          </w:rPr>
          <w:t>1.2 Motivação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393874" w14:textId="24EAFFD9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Pr="00122C3C">
          <w:rPr>
            <w:rStyle w:val="Hyperlink"/>
          </w:rPr>
          <w:t>1.3 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37893B" w14:textId="6D86ECC4" w:rsidR="00AE48DC" w:rsidRDefault="00AE48DC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Pr="00122C3C">
          <w:rPr>
            <w:rStyle w:val="Hyperlink"/>
          </w:rPr>
          <w:t>1.4. Objetivo Geral e 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985861" w14:textId="6E0EECD8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Pr="00122C3C">
          <w:rPr>
            <w:rStyle w:val="Hyperlink"/>
          </w:rPr>
          <w:t>1.4.1. Objetivo Geral: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8340B4" w14:textId="3472B94F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Pr="00122C3C">
          <w:rPr>
            <w:rStyle w:val="Hyperlink"/>
          </w:rPr>
          <w:t>1.4.2. Objetivos Específicos: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560D76" w14:textId="00B1810C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Pr="00122C3C">
          <w:rPr>
            <w:rStyle w:val="Hyperlink"/>
          </w:rPr>
          <w:t>2. 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4F3A11" w14:textId="6D39ABAA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Pr="00122C3C">
          <w:rPr>
            <w:rStyle w:val="Hyperlink"/>
          </w:rPr>
          <w:t>3. 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735B9E" w14:textId="13E68DD9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Pr="00122C3C">
          <w:rPr>
            <w:rStyle w:val="Hyperlink"/>
          </w:rPr>
          <w:t>4.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8E9424" w14:textId="3D3DEF7B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Pr="00122C3C">
          <w:rPr>
            <w:rStyle w:val="Hyperlink"/>
          </w:rPr>
          <w:t>5. CONCLUSÃO E TRABALHOS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2D5F775" w14:textId="3775F58E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Pr="00122C3C">
          <w:rPr>
            <w:rStyle w:val="Hyperlink"/>
          </w:rPr>
          <w:t>6. REFERÊNCIAS BIBLIOGRAFICAS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D20C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Spotify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Kindle Direct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Kindle, Fire Tablets, Fire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Echo,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Walk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660DF0B8" w14:textId="7FB1BE1F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no Brasil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4DC748EB" w14:textId="76B86AF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2E7BD266" w14:textId="041F778A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Entregas e logísticas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058A5F7C" w14:textId="60FD36B2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Entreterimento</w:t>
      </w:r>
      <w:proofErr w:type="spellEnd"/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77777777" w:rsidR="00E04E87" w:rsidRPr="00E04E87" w:rsidRDefault="00E04E87" w:rsidP="00E04E87">
      <w:pPr>
        <w:rPr>
          <w:lang w:eastAsia="pt-BR"/>
        </w:rPr>
      </w:pPr>
      <w:bookmarkStart w:id="9" w:name="_Toc192003948"/>
    </w:p>
    <w:p w14:paraId="13649977" w14:textId="759D617C" w:rsidR="001108CF" w:rsidRPr="00E0780D" w:rsidRDefault="00464A88" w:rsidP="00E04E87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24623CD8" w14:textId="193E5F5A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0"/>
    </w:p>
    <w:p w14:paraId="2E094B8D" w14:textId="7E675E15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1"/>
    </w:p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2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Model."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C633D5" w:rsidP="00C633D5">
      <w:pPr>
        <w:rPr>
          <w:rFonts w:ascii="Arial" w:hAnsi="Arial" w:cs="Arial"/>
          <w:sz w:val="24"/>
          <w:szCs w:val="24"/>
        </w:rPr>
      </w:pPr>
      <w:hyperlink r:id="rId10" w:history="1">
        <w:r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4B891CD7" w14:textId="2552180A" w:rsidR="007C4991" w:rsidRPr="007C4991" w:rsidRDefault="007C4991" w:rsidP="007C4991">
      <w:pPr>
        <w:rPr>
          <w:rFonts w:ascii="Arial" w:hAnsi="Arial" w:cs="Arial"/>
          <w:sz w:val="24"/>
          <w:szCs w:val="24"/>
        </w:rPr>
      </w:pPr>
      <w:hyperlink r:id="rId11" w:history="1">
        <w:r w:rsidRPr="007C4991">
          <w:rPr>
            <w:rStyle w:val="Hyperlink"/>
            <w:rFonts w:ascii="Arial" w:hAnsi="Arial" w:cs="Arial"/>
            <w:sz w:val="24"/>
            <w:szCs w:val="24"/>
          </w:rPr>
          <w:t>https://github.com/valdineyatilio/ProjetoAplicado-III/tree/main/Aula-02</w:t>
        </w:r>
      </w:hyperlink>
    </w:p>
    <w:p w14:paraId="6779E1D4" w14:textId="77777777" w:rsidR="0098080C" w:rsidRPr="007C4991" w:rsidRDefault="0098080C" w:rsidP="007C4991"/>
    <w:sectPr w:rsidR="0098080C" w:rsidRPr="007C4991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14811" w14:textId="77777777" w:rsidR="00CB74E7" w:rsidRDefault="00CB74E7" w:rsidP="00864434">
      <w:pPr>
        <w:spacing w:after="0" w:line="240" w:lineRule="auto"/>
      </w:pPr>
      <w:r>
        <w:separator/>
      </w:r>
    </w:p>
  </w:endnote>
  <w:endnote w:type="continuationSeparator" w:id="0">
    <w:p w14:paraId="3B13D486" w14:textId="77777777" w:rsidR="00CB74E7" w:rsidRDefault="00CB74E7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E330B" w14:textId="77777777" w:rsidR="00CB74E7" w:rsidRDefault="00CB74E7" w:rsidP="00864434">
      <w:pPr>
        <w:spacing w:after="0" w:line="240" w:lineRule="auto"/>
      </w:pPr>
      <w:r>
        <w:separator/>
      </w:r>
    </w:p>
  </w:footnote>
  <w:footnote w:type="continuationSeparator" w:id="0">
    <w:p w14:paraId="0F716979" w14:textId="77777777" w:rsidR="00CB74E7" w:rsidRDefault="00CB74E7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0591388"/>
      <w:docPartObj>
        <w:docPartGallery w:val="Page Numbers (Top of Page)"/>
        <w:docPartUnique/>
      </w:docPartObj>
    </w:sdtPr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19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81122">
    <w:abstractNumId w:val="16"/>
  </w:num>
  <w:num w:numId="2" w16cid:durableId="1148740738">
    <w:abstractNumId w:val="15"/>
  </w:num>
  <w:num w:numId="3" w16cid:durableId="1137801426">
    <w:abstractNumId w:val="40"/>
  </w:num>
  <w:num w:numId="4" w16cid:durableId="895509389">
    <w:abstractNumId w:val="33"/>
  </w:num>
  <w:num w:numId="5" w16cid:durableId="445930871">
    <w:abstractNumId w:val="23"/>
  </w:num>
  <w:num w:numId="6" w16cid:durableId="1938826683">
    <w:abstractNumId w:val="27"/>
  </w:num>
  <w:num w:numId="7" w16cid:durableId="1029374593">
    <w:abstractNumId w:val="26"/>
  </w:num>
  <w:num w:numId="8" w16cid:durableId="988291192">
    <w:abstractNumId w:val="2"/>
  </w:num>
  <w:num w:numId="9" w16cid:durableId="1179541340">
    <w:abstractNumId w:val="31"/>
  </w:num>
  <w:num w:numId="10" w16cid:durableId="994189777">
    <w:abstractNumId w:val="12"/>
  </w:num>
  <w:num w:numId="11" w16cid:durableId="2023123034">
    <w:abstractNumId w:val="22"/>
  </w:num>
  <w:num w:numId="12" w16cid:durableId="112290761">
    <w:abstractNumId w:val="19"/>
  </w:num>
  <w:num w:numId="13" w16cid:durableId="457840585">
    <w:abstractNumId w:val="18"/>
  </w:num>
  <w:num w:numId="14" w16cid:durableId="1124812927">
    <w:abstractNumId w:val="9"/>
  </w:num>
  <w:num w:numId="15" w16cid:durableId="2065713070">
    <w:abstractNumId w:val="1"/>
  </w:num>
  <w:num w:numId="16" w16cid:durableId="734668190">
    <w:abstractNumId w:val="11"/>
  </w:num>
  <w:num w:numId="17" w16cid:durableId="507063688">
    <w:abstractNumId w:val="14"/>
  </w:num>
  <w:num w:numId="18" w16cid:durableId="891232863">
    <w:abstractNumId w:val="17"/>
  </w:num>
  <w:num w:numId="19" w16cid:durableId="201485330">
    <w:abstractNumId w:val="29"/>
  </w:num>
  <w:num w:numId="20" w16cid:durableId="957026318">
    <w:abstractNumId w:val="38"/>
  </w:num>
  <w:num w:numId="21" w16cid:durableId="1025791298">
    <w:abstractNumId w:val="32"/>
  </w:num>
  <w:num w:numId="22" w16cid:durableId="1763143364">
    <w:abstractNumId w:val="20"/>
  </w:num>
  <w:num w:numId="23" w16cid:durableId="1604875909">
    <w:abstractNumId w:val="37"/>
  </w:num>
  <w:num w:numId="24" w16cid:durableId="1026979568">
    <w:abstractNumId w:val="7"/>
  </w:num>
  <w:num w:numId="25" w16cid:durableId="55858467">
    <w:abstractNumId w:val="5"/>
  </w:num>
  <w:num w:numId="26" w16cid:durableId="1707829705">
    <w:abstractNumId w:val="8"/>
  </w:num>
  <w:num w:numId="27" w16cid:durableId="1989435305">
    <w:abstractNumId w:val="34"/>
  </w:num>
  <w:num w:numId="28" w16cid:durableId="1594708326">
    <w:abstractNumId w:val="4"/>
  </w:num>
  <w:num w:numId="29" w16cid:durableId="2058239884">
    <w:abstractNumId w:val="35"/>
  </w:num>
  <w:num w:numId="30" w16cid:durableId="441069386">
    <w:abstractNumId w:val="0"/>
  </w:num>
  <w:num w:numId="31" w16cid:durableId="33309736">
    <w:abstractNumId w:val="36"/>
  </w:num>
  <w:num w:numId="32" w16cid:durableId="375542692">
    <w:abstractNumId w:val="21"/>
  </w:num>
  <w:num w:numId="33" w16cid:durableId="401487874">
    <w:abstractNumId w:val="10"/>
  </w:num>
  <w:num w:numId="34" w16cid:durableId="1268268700">
    <w:abstractNumId w:val="6"/>
  </w:num>
  <w:num w:numId="35" w16cid:durableId="1622955740">
    <w:abstractNumId w:val="39"/>
  </w:num>
  <w:num w:numId="36" w16cid:durableId="1091513686">
    <w:abstractNumId w:val="30"/>
  </w:num>
  <w:num w:numId="37" w16cid:durableId="1515806808">
    <w:abstractNumId w:val="25"/>
  </w:num>
  <w:num w:numId="38" w16cid:durableId="1289824592">
    <w:abstractNumId w:val="3"/>
  </w:num>
  <w:num w:numId="39" w16cid:durableId="1667513349">
    <w:abstractNumId w:val="28"/>
  </w:num>
  <w:num w:numId="40" w16cid:durableId="1377972243">
    <w:abstractNumId w:val="13"/>
  </w:num>
  <w:num w:numId="41" w16cid:durableId="2881699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68B6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D40F0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90D5E"/>
    <w:rsid w:val="00293B91"/>
    <w:rsid w:val="002968DD"/>
    <w:rsid w:val="00297006"/>
    <w:rsid w:val="002A590C"/>
    <w:rsid w:val="002B07C3"/>
    <w:rsid w:val="002B3039"/>
    <w:rsid w:val="002C0231"/>
    <w:rsid w:val="002C371F"/>
    <w:rsid w:val="002C5CE6"/>
    <w:rsid w:val="002D20C0"/>
    <w:rsid w:val="002D6517"/>
    <w:rsid w:val="002D716E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7010"/>
    <w:rsid w:val="00581DEC"/>
    <w:rsid w:val="0058358E"/>
    <w:rsid w:val="0058570E"/>
    <w:rsid w:val="00587C82"/>
    <w:rsid w:val="0059071A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516"/>
    <w:rsid w:val="006C5E14"/>
    <w:rsid w:val="006D2BFB"/>
    <w:rsid w:val="006E2B0B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27E2"/>
    <w:rsid w:val="00877FF9"/>
    <w:rsid w:val="008816A0"/>
    <w:rsid w:val="00885A36"/>
    <w:rsid w:val="00894700"/>
    <w:rsid w:val="008A0E35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5C4D"/>
    <w:rsid w:val="00905E60"/>
    <w:rsid w:val="00913379"/>
    <w:rsid w:val="00943C51"/>
    <w:rsid w:val="009456BD"/>
    <w:rsid w:val="009509CD"/>
    <w:rsid w:val="00955384"/>
    <w:rsid w:val="009673CF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F6058"/>
    <w:rsid w:val="00AF73F2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F01A9"/>
    <w:rsid w:val="00BF7850"/>
    <w:rsid w:val="00C03E4F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6738"/>
    <w:rsid w:val="00FC6B9D"/>
    <w:rsid w:val="00FC7DB6"/>
    <w:rsid w:val="00FD124F"/>
    <w:rsid w:val="00FD1D70"/>
    <w:rsid w:val="00FD2DE4"/>
    <w:rsid w:val="00FD464C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/Aula-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7580-6630-44DB-A8E1-1E6CAAA5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1318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11</cp:revision>
  <cp:lastPrinted>2025-04-02T01:22:00Z</cp:lastPrinted>
  <dcterms:created xsi:type="dcterms:W3CDTF">2025-03-04T20:42:00Z</dcterms:created>
  <dcterms:modified xsi:type="dcterms:W3CDTF">2025-04-02T01:23:00Z</dcterms:modified>
</cp:coreProperties>
</file>