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90" w:line="264" w:lineRule="auto"/>
        <w:jc w:val="center"/>
        <w:widowControl/>
        <w:keepLines/>
        <w:keepNext/>
      </w:pPr>
      <w:r>
        <w:rPr>
          <w:rFonts w:ascii="Arial" w:hAnsi="Arial"/>
          <w:sz w:val="24"/>
          <w:lang w:val="pt-BR"/>
          <w:b/>
        </w:rPr>
        <w:t xml:space="preserve">CONTRATO ADMINISTRATIVO DE LOCAÇÃO DE VEÍCULO Nº #CONTRATO</w:t>
      </w:r>
    </w:p>
    <w:p>
      <w:pPr>
        <w:spacing w:before="0" w:after="90" w:line="264" w:lineRule="auto"/>
        <w:jc w:val="both"/>
        <w:widowControl/>
        <w:keepLines/>
      </w:pPr>
      <w:r>
        <w:rPr>
          <w:rFonts w:ascii="Arial" w:hAnsi="Arial"/>
          <w:sz w:val="21"/>
          <w:lang w:val="pt-BR"/>
        </w:rPr>
        <w:t xml:space="preserve">MINUTA PARA REVISÃO JURÍDICA — LOCAÇÃO MENSAL SEM MOTORISTA</w:t>
      </w:r>
    </w:p>
    <w:p>
      <w:pPr>
        <w:spacing w:before="0" w:after="90" w:line="264" w:lineRule="auto"/>
        <w:jc w:val="both"/>
        <w:widowControl/>
        <w:keepLines/>
      </w:pPr>
      <w:r>
        <w:rPr>
          <w:rFonts w:ascii="Arial" w:hAnsi="Arial"/>
          <w:sz w:val="21"/>
          <w:lang w:val="pt-BR"/>
        </w:rPr>
        <w:t xml:space="preserve">Processo Administrativo: #PROCESSO</w:t>
      </w:r>
    </w:p>
    <w:p>
      <w:pPr>
        <w:spacing w:before="0" w:after="90" w:line="264" w:lineRule="auto"/>
        <w:jc w:val="both"/>
        <w:widowControl/>
        <w:keepLines/>
      </w:pPr>
      <w:r>
        <w:rPr>
          <w:rFonts w:ascii="Arial" w:hAnsi="Arial"/>
          <w:sz w:val="21"/>
          <w:lang w:val="pt-BR"/>
        </w:rPr>
        <w:t xml:space="preserve">Procedimento: #MODALIDADE nº #N_LICIT — Ato de autorização/homologação: [IDENTIFICAR ATO E DATA]</w:t>
      </w:r>
    </w:p>
    <w:p>
      <w:pPr>
        <w:spacing w:before="0" w:after="90" w:line="264" w:lineRule="auto"/>
        <w:jc w:val="both"/>
        <w:widowControl/>
        <w:keepLines/>
      </w:pPr>
      <w:r>
        <w:rPr>
          <w:rFonts w:ascii="Arial" w:hAnsi="Arial"/>
          <w:sz w:val="21"/>
          <w:lang w:val="pt-BR"/>
        </w:rPr>
        <w:t xml:space="preserve">O MUNICÍPIO DE NIQUELÂNDIA, ESTADO DE GOIÁS, por intermédio de #FUNDO, inscrito no CNPJ nº #CNPJ_FUNDO, com sede em #END_FUNDO, neste ato representado por #NOME_GESTOR, #CARGO_GESTOR, conforme [ATO DE NOMEAÇÃO E COMPETÊNCIA PARA CONTRATAR], doravante CONTRATANTE ou LOCATÁRIO, e #FORNECEDOR, pessoa jurídica inscrita no CNPJ nº #CNPJ_FORNECEDOR, com sede em #END_FORNECEDOR, representada por #REPRESENTANTE_FORNECEDOR, conforme [ATO CONSTITUTIVO/PROCURAÇÃO], doravante CONTRATADA ou LOCADORA, celebram este contrato, nos termos da Lei nº 14.133/2021 e das cláusulas seguintes.</w:t>
      </w:r>
    </w:p>
    <w:p>
      <w:pPr>
        <w:spacing w:before="160" w:after="90" w:line="264" w:lineRule="auto"/>
        <w:jc w:val="left"/>
        <w:widowControl/>
        <w:keepLines/>
        <w:keepNext/>
      </w:pPr>
      <w:r>
        <w:rPr>
          <w:rFonts w:ascii="Arial" w:hAnsi="Arial"/>
          <w:sz w:val="21"/>
          <w:lang w:val="pt-BR"/>
          <w:b/>
        </w:rPr>
        <w:t xml:space="preserve">CLÁUSULA PRIMEIRA — OBJETO E DOCUMENTOS INTEGRANTES</w:t>
      </w:r>
    </w:p>
    <w:p>
      <w:pPr>
        <w:spacing w:before="0" w:after="90" w:line="264" w:lineRule="auto"/>
        <w:jc w:val="both"/>
        <w:widowControl/>
        <w:keepLines/>
      </w:pPr>
      <w:r>
        <w:rPr>
          <w:rFonts w:ascii="Arial" w:hAnsi="Arial"/>
          <w:sz w:val="21"/>
          <w:lang w:val="pt-BR"/>
        </w:rPr>
        <w:t xml:space="preserve">1.1. O objeto é a locação de veículo(s), sem motorista e sem fornecimento de combustível pela LOCADORA, para atendimento de #FUNDO e da unidade [SECRETARIA/UNIDADE BENEFICIÁRIA], com manutenção preventiva e corretiva, documentação, seguro, assistência e substituição, conforme as especificações e os preços do Anexo I e do Termo de Referência.</w:t>
      </w:r>
    </w:p>
    <w:p>
      <w:pPr>
        <w:spacing w:before="0" w:after="90" w:line="264" w:lineRule="auto"/>
        <w:jc w:val="both"/>
        <w:widowControl/>
        <w:keepLines/>
      </w:pPr>
      <w:r>
        <w:rPr>
          <w:rFonts w:ascii="Arial" w:hAnsi="Arial"/>
          <w:sz w:val="21"/>
          <w:lang w:val="pt-BR"/>
        </w:rPr>
        <w:t xml:space="preserve">1.2. A locação destina-se ao uso administrativo e institucional autorizado, com quilometragem livre, em vias urbanas e rurais compatíveis com a categoria contratada, no território nacional. Não abrange transporte escolar, transporte de pacientes em ambulância, transporte coletivo remunerado, operação de máquinas ou outras atividades que exijam requisitos específicos não previstos no Termo de Referência.</w:t>
      </w:r>
    </w:p>
    <w:p>
      <w:pPr>
        <w:spacing w:before="0" w:after="90" w:line="264" w:lineRule="auto"/>
        <w:jc w:val="both"/>
        <w:widowControl/>
        <w:keepLines/>
      </w:pPr>
      <w:r>
        <w:rPr>
          <w:rFonts w:ascii="Arial" w:hAnsi="Arial"/>
          <w:sz w:val="21"/>
          <w:lang w:val="pt-BR"/>
        </w:rPr>
        <w:t xml:space="preserve">1.3. Integram este instrumento o edital e seus anexos, o Termo de Referência, a proposta adjudicada, o ato de autorização da contratação direta, quando for o caso, e os Anexos I, II e III deste contrato. A vinculação subsiste independentemente de transcrição. Divergências serão decididas motivadamente à luz da lei e dos documentos da contratação, sem alteração informal do objeto ou da proposta.</w:t>
      </w:r>
    </w:p>
    <w:p>
      <w:pPr>
        <w:spacing w:before="160" w:after="90" w:line="264" w:lineRule="auto"/>
        <w:jc w:val="left"/>
        <w:widowControl/>
        <w:keepLines/>
        <w:keepNext/>
      </w:pPr>
      <w:r>
        <w:rPr>
          <w:rFonts w:ascii="Arial" w:hAnsi="Arial"/>
          <w:sz w:val="21"/>
          <w:lang w:val="pt-BR"/>
          <w:b/>
        </w:rPr>
        <w:t xml:space="preserve">CLÁUSULA SEGUNDA — FUNDAMENTO E FORMA DE EXECUÇÃO</w:t>
      </w:r>
    </w:p>
    <w:p>
      <w:pPr>
        <w:spacing w:before="0" w:after="90" w:line="264" w:lineRule="auto"/>
        <w:jc w:val="both"/>
        <w:widowControl/>
        <w:keepLines/>
      </w:pPr>
      <w:r>
        <w:rPr>
          <w:rFonts w:ascii="Arial" w:hAnsi="Arial"/>
          <w:sz w:val="21"/>
          <w:lang w:val="pt-BR"/>
        </w:rPr>
        <w:t xml:space="preserve">2.1. A contratação decorre de #MODALIDADE nº #N_LICIT, conforme Processo nº #PROCESSO. Seu fundamento específico é [INDICAR DISPOSITIVO LEGAL E ATO DO PROCEDIMENTO EFETIVAMENTE REALIZADO]. Este instrumento não constitui, por si só, autorização de dispensa ou inexigibilidade.</w:t>
      </w:r>
    </w:p>
    <w:p>
      <w:pPr>
        <w:spacing w:before="0" w:after="90" w:line="264" w:lineRule="auto"/>
        <w:jc w:val="both"/>
        <w:widowControl/>
        <w:keepLines/>
      </w:pPr>
      <w:r>
        <w:rPr>
          <w:rFonts w:ascii="Arial" w:hAnsi="Arial"/>
          <w:sz w:val="21"/>
          <w:lang w:val="pt-BR"/>
        </w:rPr>
        <w:t xml:space="preserve">2.2. Aplicam-se a Lei nº 14.133/2021, a regulamentação municipal pertinente identificada no processo, o Código de Trânsito Brasileiro e, supletivamente, as normas gerais de contratos e de locação de coisas do Código Civil, naquilo que seja compatível com o regime administrativo.</w:t>
      </w:r>
    </w:p>
    <w:p>
      <w:pPr>
        <w:spacing w:before="0" w:after="90" w:line="264" w:lineRule="auto"/>
        <w:jc w:val="both"/>
        <w:widowControl/>
        <w:keepLines/>
      </w:pPr>
      <w:r>
        <w:rPr>
          <w:rFonts w:ascii="Arial" w:hAnsi="Arial"/>
          <w:sz w:val="21"/>
          <w:lang w:val="pt-BR"/>
        </w:rPr>
        <w:t xml:space="preserve">2.3. A execução ocorre por disponibilização contínua dos veículos efetivamente contratados, remunerada por veículo-mês, segundo preços unitários e medição mensal. Não há dedicação exclusiva de mão de obra, fornecimento de motorista, aquisição do veículo ou opção de compra. O uso de veículo de terceiro pela LOCADORA exige disponibilidade jurídica comprovada e responsabilidade integral desta.</w:t>
      </w:r>
    </w:p>
    <w:p>
      <w:pPr>
        <w:spacing w:before="160" w:after="90" w:line="264" w:lineRule="auto"/>
        <w:jc w:val="left"/>
        <w:widowControl/>
        <w:keepLines/>
        <w:keepNext/>
      </w:pPr>
      <w:r>
        <w:rPr>
          <w:rFonts w:ascii="Arial" w:hAnsi="Arial"/>
          <w:sz w:val="21"/>
          <w:lang w:val="pt-BR"/>
          <w:b/>
        </w:rPr>
        <w:t xml:space="preserve">CLÁUSULA TERCEIRA — VIGÊNCIA, INÍCIO E PRORROGAÇÃO</w:t>
      </w:r>
    </w:p>
    <w:p>
      <w:pPr>
        <w:spacing w:before="0" w:after="90" w:line="264" w:lineRule="auto"/>
        <w:jc w:val="both"/>
        <w:widowControl/>
        <w:keepLines/>
      </w:pPr>
      <w:r>
        <w:rPr>
          <w:rFonts w:ascii="Arial" w:hAnsi="Arial"/>
          <w:sz w:val="21"/>
          <w:lang w:val="pt-BR"/>
        </w:rPr>
        <w:t xml:space="preserve">3.1. A vigência inicial será de 12 (doze) meses, de #INICIO a #FINAL, após a formalização e a eficácia legal do contrato. As datas deverão corresponder ao prazo aprovado no procedimento. O início da disponibilização dependerá de ordem escrita e de empenho prévio.</w:t>
      </w:r>
    </w:p>
    <w:p>
      <w:pPr>
        <w:spacing w:before="0" w:after="90" w:line="264" w:lineRule="auto"/>
        <w:jc w:val="both"/>
        <w:widowControl/>
        <w:keepLines/>
      </w:pPr>
      <w:r>
        <w:rPr>
          <w:rFonts w:ascii="Arial" w:hAnsi="Arial"/>
          <w:sz w:val="21"/>
          <w:lang w:val="pt-BR"/>
        </w:rPr>
        <w:t xml:space="preserve">3.2. Antes da ordem de início, o gestor verificará a designação da fiscalização, os locais de entrega, a disponibilidade de condutores, as condições de guarda e os documentos e seguros exigidos. A preparação não autoriza cobrança de veículo ainda não entregue e aceito.</w:t>
      </w:r>
    </w:p>
    <w:p>
      <w:pPr>
        <w:spacing w:before="0" w:after="90" w:line="264" w:lineRule="auto"/>
        <w:jc w:val="both"/>
        <w:widowControl/>
        <w:keepLines/>
      </w:pPr>
      <w:r>
        <w:rPr>
          <w:rFonts w:ascii="Arial" w:hAnsi="Arial"/>
          <w:sz w:val="21"/>
          <w:lang w:val="pt-BR"/>
        </w:rPr>
        <w:t xml:space="preserve">3.3. A prorrogação não é automática. Caso a necessidade contínua esteja demonstrada no planejamento e a possibilidade tenha sido prevista no edital ou no instrumento de contratação direta juridicamente cabível, poderão ser celebrados aditivos dentro da vigência, observados os arts. 105 a 107 da Lei nº 14.133/2021, a qualificação jurídica do objeto, os limites legais, a vantajosidade, os créditos orçamentários, a habilitação e a anuência da LOCADORA. Não se estabelece direito à prorrogação ou à duração máxima legal.</w:t>
      </w:r>
    </w:p>
    <w:p>
      <w:pPr>
        <w:spacing w:before="0" w:after="90" w:line="264" w:lineRule="auto"/>
        <w:jc w:val="both"/>
        <w:widowControl/>
        <w:keepLines/>
      </w:pPr>
      <w:r>
        <w:rPr>
          <w:rFonts w:ascii="Arial" w:hAnsi="Arial"/>
          <w:sz w:val="21"/>
          <w:lang w:val="pt-BR"/>
        </w:rPr>
        <w:t xml:space="preserve">3.4. Quando aplicável a opção de extinção do art. 106, III e § 1º, deverão ser respeitados o marco de aniversário e a antecedência mínima legal. A extinção, a paralisação e a devolução serão formalmente comunicadas, sem dispensar a apuração dos valores efetivamente devidos.</w:t>
      </w:r>
    </w:p>
    <w:p>
      <w:pPr>
        <w:spacing w:before="160" w:after="90" w:line="264" w:lineRule="auto"/>
        <w:jc w:val="left"/>
        <w:widowControl/>
        <w:keepLines/>
        <w:keepNext/>
      </w:pPr>
      <w:r>
        <w:rPr>
          <w:rFonts w:ascii="Arial" w:hAnsi="Arial"/>
          <w:sz w:val="21"/>
          <w:lang w:val="pt-BR"/>
          <w:b/>
        </w:rPr>
        <w:t xml:space="preserve">CLÁUSULA QUARTA — ENTREGA, VISTORIA E IDENTIFICAÇÃO</w:t>
      </w:r>
    </w:p>
    <w:p>
      <w:pPr>
        <w:spacing w:before="0" w:after="90" w:line="264" w:lineRule="auto"/>
        <w:jc w:val="both"/>
        <w:widowControl/>
        <w:keepLines/>
      </w:pPr>
      <w:r>
        <w:rPr>
          <w:rFonts w:ascii="Arial" w:hAnsi="Arial"/>
          <w:sz w:val="21"/>
          <w:lang w:val="pt-BR"/>
        </w:rPr>
        <w:t xml:space="preserve">4.1. A LOCADORA entregará os veículos em [ENDEREÇO DE ENTREGA], no prazo de 5 (cinco) dias úteis após a ordem escrita, em horário acordado com a fiscalização. Transporte, emplacamento, preparação e entrega estão incluídos no preço.</w:t>
      </w:r>
    </w:p>
    <w:p>
      <w:pPr>
        <w:spacing w:before="0" w:after="90" w:line="264" w:lineRule="auto"/>
        <w:jc w:val="both"/>
        <w:widowControl/>
        <w:keepLines/>
      </w:pPr>
      <w:r>
        <w:rPr>
          <w:rFonts w:ascii="Arial" w:hAnsi="Arial"/>
          <w:sz w:val="21"/>
          <w:lang w:val="pt-BR"/>
        </w:rPr>
        <w:t xml:space="preserve">4.2. Serão apresentados documento de circulação válido, identificação de placa, Renavam e chassi, comprovação de propriedade ou disponibilidade jurídica, apólice e comprovantes de cobertura, manual, chave reserva quando prevista e contatos de assistência. Marca, modelo, ano, capacidade, motorização e equipamentos deverão atender ao Anexo I, sem restrição de marca não justificada no procedimento.</w:t>
      </w:r>
    </w:p>
    <w:p>
      <w:pPr>
        <w:spacing w:before="0" w:after="90" w:line="264" w:lineRule="auto"/>
        <w:jc w:val="both"/>
        <w:widowControl/>
        <w:keepLines/>
      </w:pPr>
      <w:r>
        <w:rPr>
          <w:rFonts w:ascii="Arial" w:hAnsi="Arial"/>
          <w:sz w:val="21"/>
          <w:lang w:val="pt-BR"/>
        </w:rPr>
        <w:t xml:space="preserve">4.3. A entrega e a devolução serão acompanhadas de termo de vistoria, com fotografias, data, horário, hodômetro, combustível, pneus, acessórios, avarias e identificação dos responsáveis, conforme Anexo II. Desgaste normal não será tratado como dano indenizável.</w:t>
      </w:r>
    </w:p>
    <w:p>
      <w:pPr>
        <w:spacing w:before="0" w:after="90" w:line="264" w:lineRule="auto"/>
        <w:jc w:val="both"/>
        <w:widowControl/>
        <w:keepLines/>
      </w:pPr>
      <w:r>
        <w:rPr>
          <w:rFonts w:ascii="Arial" w:hAnsi="Arial"/>
          <w:sz w:val="21"/>
          <w:lang w:val="pt-BR"/>
        </w:rPr>
        <w:t xml:space="preserve">4.4. O recebimento provisório será registrado na entrega e o definitivo ocorrerá em até 5 (cinco) dias úteis, após verificação de conformidade, observados o art. 140 e a regulamentação aplicável. O recebimento não afasta vícios ocultos, deveres de manutenção ou responsabilidade por segurança. Veículo reprovado não será utilizado nem remunerado enquanto não regularizado ou substituído.</w:t>
      </w:r>
    </w:p>
    <w:p>
      <w:pPr>
        <w:spacing w:before="160" w:after="90" w:line="264" w:lineRule="auto"/>
        <w:jc w:val="left"/>
        <w:widowControl/>
        <w:keepLines/>
        <w:keepNext/>
      </w:pPr>
      <w:r>
        <w:rPr>
          <w:rFonts w:ascii="Arial" w:hAnsi="Arial"/>
          <w:sz w:val="21"/>
          <w:lang w:val="pt-BR"/>
          <w:b/>
        </w:rPr>
        <w:t xml:space="preserve">CLÁUSULA QUINTA — CONDIÇÕES DE USO E DISPONIBILIDADE</w:t>
      </w:r>
    </w:p>
    <w:p>
      <w:pPr>
        <w:spacing w:before="0" w:after="90" w:line="264" w:lineRule="auto"/>
        <w:jc w:val="both"/>
        <w:widowControl/>
        <w:keepLines/>
      </w:pPr>
      <w:r>
        <w:rPr>
          <w:rFonts w:ascii="Arial" w:hAnsi="Arial"/>
          <w:sz w:val="21"/>
          <w:lang w:val="pt-BR"/>
        </w:rPr>
        <w:t xml:space="preserve">5.1. Os veículos ficarão à disposição da unidade beneficiária durante os períodos contratados, inclusive fins de semana e feriados quando necessários ao serviço, e serão conduzidos exclusivamente por pessoas habilitadas e formalmente autorizadas pelo LOCATÁRIO.</w:t>
      </w:r>
    </w:p>
    <w:p>
      <w:pPr>
        <w:spacing w:before="0" w:after="90" w:line="264" w:lineRule="auto"/>
        <w:jc w:val="both"/>
        <w:widowControl/>
        <w:keepLines/>
      </w:pPr>
      <w:r>
        <w:rPr>
          <w:rFonts w:ascii="Arial" w:hAnsi="Arial"/>
          <w:sz w:val="21"/>
          <w:lang w:val="pt-BR"/>
        </w:rPr>
        <w:t xml:space="preserve">5.2. A quilometragem é livre, sem franquia ou cobrança adicional por quilômetro. A localização da demanda, o tipo de via e a previsão de utilização constarão do planejamento para dimensionar corretamente a frota e o preço. Alterações dessas condições dependerão de avaliação técnica e jurídica.</w:t>
      </w:r>
    </w:p>
    <w:p>
      <w:pPr>
        <w:spacing w:before="0" w:after="90" w:line="264" w:lineRule="auto"/>
        <w:jc w:val="both"/>
        <w:widowControl/>
        <w:keepLines/>
      </w:pPr>
      <w:r>
        <w:rPr>
          <w:rFonts w:ascii="Arial" w:hAnsi="Arial"/>
          <w:sz w:val="21"/>
          <w:lang w:val="pt-BR"/>
        </w:rPr>
        <w:t xml:space="preserve">5.3. O LOCATÁRIO controlará condutores, deslocamentos e abastecimentos e zelará pela guarda. São vedados uso particular, cessão a terceiros sem autorização, competição, condução sem habilitação adequada e emprego em condições incompatíveis com as especificações contratadas.</w:t>
      </w:r>
    </w:p>
    <w:p>
      <w:pPr>
        <w:spacing w:before="160" w:after="90" w:line="264" w:lineRule="auto"/>
        <w:jc w:val="left"/>
        <w:widowControl/>
        <w:keepLines/>
        <w:keepNext/>
      </w:pPr>
      <w:r>
        <w:rPr>
          <w:rFonts w:ascii="Arial" w:hAnsi="Arial"/>
          <w:sz w:val="21"/>
          <w:lang w:val="pt-BR"/>
          <w:b/>
        </w:rPr>
        <w:t xml:space="preserve">CLÁUSULA SEXTA — MANUTENÇÃO, ASSISTÊNCIA E SUBSTITUIÇÃO</w:t>
      </w:r>
    </w:p>
    <w:p>
      <w:pPr>
        <w:spacing w:before="0" w:after="90" w:line="264" w:lineRule="auto"/>
        <w:jc w:val="both"/>
        <w:widowControl/>
        <w:keepLines/>
      </w:pPr>
      <w:r>
        <w:rPr>
          <w:rFonts w:ascii="Arial" w:hAnsi="Arial"/>
          <w:sz w:val="21"/>
          <w:lang w:val="pt-BR"/>
        </w:rPr>
        <w:t xml:space="preserve">6.1. A LOCADORA responderá por revisões, manutenção preventiva e corretiva, peças, pneus, lubrificantes, alinhamento, balanceamento, reparos e demais itens necessários à segurança e ao funcionamento, segundo o fabricante e o Termo de Referência. Não poderá cobrar separadamente o desgaste decorrente de utilização regular.</w:t>
      </w:r>
    </w:p>
    <w:p>
      <w:pPr>
        <w:spacing w:before="0" w:after="90" w:line="264" w:lineRule="auto"/>
        <w:jc w:val="both"/>
        <w:widowControl/>
        <w:keepLines/>
      </w:pPr>
      <w:r>
        <w:rPr>
          <w:rFonts w:ascii="Arial" w:hAnsi="Arial"/>
          <w:sz w:val="21"/>
          <w:lang w:val="pt-BR"/>
        </w:rPr>
        <w:t xml:space="preserve">6.2. A assistência será acionável 24 horas por dia, todos os dias, pelo contato [TELEFONE/CANAL]. Remoção, guincho, transporte e logística de substituição ficam a cargo da LOCADORA, que manterá o LOCATÁRIO informado sobre a ocorrência.</w:t>
      </w:r>
    </w:p>
    <w:p>
      <w:pPr>
        <w:spacing w:before="0" w:after="90" w:line="264" w:lineRule="auto"/>
        <w:jc w:val="both"/>
        <w:widowControl/>
        <w:keepLines/>
      </w:pPr>
      <w:r>
        <w:rPr>
          <w:rFonts w:ascii="Arial" w:hAnsi="Arial"/>
          <w:sz w:val="21"/>
          <w:lang w:val="pt-BR"/>
        </w:rPr>
        <w:t xml:space="preserve">6.3. Veículo indisponível ou inseguro deverá ser substituído por outro equivalente ou superior, sem aumento de preço, em até 24 (vinte e quatro) horas corridas da comunicação, inclusive durante manutenção programada. O prazo deverá ser confirmado no estudo de mercado e no Termo de Referência antes da licitação. O substituto será vistoriado e documentado; veículo inferior dependerá de rejeição pela fiscalização, não de tolerância tácita.</w:t>
      </w:r>
    </w:p>
    <w:p>
      <w:pPr>
        <w:spacing w:before="0" w:after="90" w:line="264" w:lineRule="auto"/>
        <w:jc w:val="both"/>
        <w:widowControl/>
        <w:keepLines/>
      </w:pPr>
      <w:r>
        <w:rPr>
          <w:rFonts w:ascii="Arial" w:hAnsi="Arial"/>
          <w:sz w:val="21"/>
          <w:lang w:val="pt-BR"/>
        </w:rPr>
        <w:t xml:space="preserve">6.4. A indisponibilidade será registrada desde o momento comprovado em que o veículo deixou de atender à contratação até a aceitação do substituto ou a regularização. Durante esse intervalo não haverá remuneração do veículo indisponível, sem prejuízo de sanção por atraso injustificado. É vedada cobrança simultânea do veículo substituído e do substituto.</w:t>
      </w:r>
    </w:p>
    <w:p>
      <w:pPr>
        <w:spacing w:before="0" w:after="90" w:line="264" w:lineRule="auto"/>
        <w:jc w:val="both"/>
        <w:widowControl/>
        <w:keepLines/>
      </w:pPr>
      <w:r>
        <w:rPr>
          <w:rFonts w:ascii="Arial" w:hAnsi="Arial"/>
          <w:sz w:val="21"/>
          <w:lang w:val="pt-BR"/>
        </w:rPr>
        <w:t xml:space="preserve">6.5. A LOCADORA garante a adequação do veículo e dos serviços de manutenção por todo o período de disponibilização. Defeitos, campanhas de recall e riscos à segurança exigem imediata correção ou substituição, independentemente da garantia do fabricante.</w:t>
      </w:r>
    </w:p>
    <w:p>
      <w:pPr>
        <w:spacing w:before="160" w:after="90" w:line="264" w:lineRule="auto"/>
        <w:jc w:val="left"/>
        <w:widowControl/>
        <w:keepLines/>
        <w:keepNext/>
      </w:pPr>
      <w:r>
        <w:rPr>
          <w:rFonts w:ascii="Arial" w:hAnsi="Arial"/>
          <w:sz w:val="21"/>
          <w:lang w:val="pt-BR"/>
          <w:b/>
        </w:rPr>
        <w:t xml:space="preserve">CLÁUSULA SÉTIMA — SEGURO, SINISTROS E DANOS</w:t>
      </w:r>
    </w:p>
    <w:p>
      <w:pPr>
        <w:spacing w:before="0" w:after="90" w:line="264" w:lineRule="auto"/>
        <w:jc w:val="both"/>
        <w:widowControl/>
        <w:keepLines/>
      </w:pPr>
      <w:r>
        <w:rPr>
          <w:rFonts w:ascii="Arial" w:hAnsi="Arial"/>
          <w:sz w:val="21"/>
          <w:lang w:val="pt-BR"/>
        </w:rPr>
        <w:t xml:space="preserve">7.1. A LOCADORA manterá seguro válido, compatível com uso institucional e condutores autorizados, cobrindo casco, colisão, incêndio, roubo/furto e responsabilidade civil por danos materiais e corporais a terceiros, com assistência e demais coberturas e limites definidos no Anexo I. As apólices e renovações deverão ser entregues antes da utilização, sem períodos descobertos.</w:t>
      </w:r>
    </w:p>
    <w:p>
      <w:pPr>
        <w:spacing w:before="0" w:after="90" w:line="264" w:lineRule="auto"/>
        <w:jc w:val="both"/>
        <w:widowControl/>
        <w:keepLines/>
      </w:pPr>
      <w:r>
        <w:rPr>
          <w:rFonts w:ascii="Arial" w:hAnsi="Arial"/>
          <w:sz w:val="21"/>
          <w:lang w:val="pt-BR"/>
        </w:rPr>
        <w:t xml:space="preserve">7.2. Prêmios, franquias e participações obrigatórias do seguro integram os custos da LOCADORA e não poderão ser repassados automaticamente ao LOCATÁRIO ou ao condutor. A recusa de cobertura por falha da LOCADORA não transfere o risco ao Município.</w:t>
      </w:r>
    </w:p>
    <w:p>
      <w:pPr>
        <w:spacing w:before="0" w:after="90" w:line="264" w:lineRule="auto"/>
        <w:jc w:val="both"/>
        <w:widowControl/>
        <w:keepLines/>
      </w:pPr>
      <w:r>
        <w:rPr>
          <w:rFonts w:ascii="Arial" w:hAnsi="Arial"/>
          <w:sz w:val="21"/>
          <w:lang w:val="pt-BR"/>
        </w:rPr>
        <w:t xml:space="preserve">7.3. Havendo indício de dano causado por uso indevido imputável ao LOCATÁRIO ou a seus agentes, qualquer ressarcimento dependerá de apuração de responsabilidade, nexo causal, prova do prejuízo e contraditório, descontadas indenizações securitárias e vedada dupla reparação. A responsabilidade por danos a terceiros observará a legislação, inclusive o art. 120 da Lei nº 14.133/2021 e o regime constitucional aplicável, sem prejuízo da apuração regressiva cabível.</w:t>
      </w:r>
    </w:p>
    <w:p>
      <w:pPr>
        <w:spacing w:before="0" w:after="90" w:line="264" w:lineRule="auto"/>
        <w:jc w:val="both"/>
        <w:widowControl/>
        <w:keepLines/>
      </w:pPr>
      <w:r>
        <w:rPr>
          <w:rFonts w:ascii="Arial" w:hAnsi="Arial"/>
          <w:sz w:val="21"/>
          <w:lang w:val="pt-BR"/>
        </w:rPr>
        <w:t xml:space="preserve">7.4. As partes comunicarão acidentes e sinistros imediatamente após ciência, preservarão provas e providenciarão os registros legalmente exigidos. A substituição não ficará condicionada à conclusão da regulação do sinistro ou à atribuição definitiva de responsabilidade.</w:t>
      </w:r>
    </w:p>
    <w:p>
      <w:pPr>
        <w:spacing w:before="160" w:after="90" w:line="264" w:lineRule="auto"/>
        <w:jc w:val="left"/>
        <w:widowControl/>
        <w:keepLines/>
        <w:keepNext/>
      </w:pPr>
      <w:r>
        <w:rPr>
          <w:rFonts w:ascii="Arial" w:hAnsi="Arial"/>
          <w:sz w:val="21"/>
          <w:lang w:val="pt-BR"/>
          <w:b/>
        </w:rPr>
        <w:t xml:space="preserve">CLÁUSULA OITAVA — OBRIGAÇÕES DA LOCADORA</w:t>
      </w:r>
    </w:p>
    <w:p>
      <w:pPr>
        <w:spacing w:before="0" w:after="90" w:line="264" w:lineRule="auto"/>
        <w:jc w:val="both"/>
        <w:widowControl/>
        <w:keepLines/>
      </w:pPr>
      <w:r>
        <w:rPr>
          <w:rFonts w:ascii="Arial" w:hAnsi="Arial"/>
          <w:sz w:val="21"/>
          <w:lang w:val="pt-BR"/>
        </w:rPr>
        <w:t xml:space="preserve">8.1. Cumprir integralmente as especificações, manter veículos licenciados e seguros e suportar tributos, taxas de propriedade e circulação, encargos, logística, manutenção e despesas incluídas no preço. Infrações vinculadas à documentação ou às condições do veículo serão de sua responsabilidade.</w:t>
      </w:r>
    </w:p>
    <w:p>
      <w:pPr>
        <w:spacing w:before="0" w:after="90" w:line="264" w:lineRule="auto"/>
        <w:jc w:val="both"/>
        <w:widowControl/>
        <w:keepLines/>
      </w:pPr>
      <w:r>
        <w:rPr>
          <w:rFonts w:ascii="Arial" w:hAnsi="Arial"/>
          <w:sz w:val="21"/>
          <w:lang w:val="pt-BR"/>
        </w:rPr>
        <w:t xml:space="preserve">8.2. Indicar preposto [NOME/CONTATO], atender determinações regulares da fiscalização, prestar informações e apresentar os registros de manutenção, seguro, entrega e substituição. A atuação da fiscalização não reduz sua responsabilidade pela execução.</w:t>
      </w:r>
    </w:p>
    <w:p>
      <w:pPr>
        <w:spacing w:before="0" w:after="90" w:line="264" w:lineRule="auto"/>
        <w:jc w:val="both"/>
        <w:widowControl/>
        <w:keepLines/>
      </w:pPr>
      <w:r>
        <w:rPr>
          <w:rFonts w:ascii="Arial" w:hAnsi="Arial"/>
          <w:sz w:val="21"/>
          <w:lang w:val="pt-BR"/>
        </w:rPr>
        <w:t xml:space="preserve">8.3. Manter as condições de habilitação ou qualificação durante toda a execução; cumprir as reservas legais de cargos para pessoa com deficiência, reabilitado da Previdência Social e aprendiz, quando aplicáveis, e comprovar o atendimento quando solicitado, conforme arts. 92, XVII, e 116.</w:t>
      </w:r>
    </w:p>
    <w:p>
      <w:pPr>
        <w:spacing w:before="0" w:after="90" w:line="264" w:lineRule="auto"/>
        <w:jc w:val="both"/>
        <w:widowControl/>
        <w:keepLines/>
      </w:pPr>
      <w:r>
        <w:rPr>
          <w:rFonts w:ascii="Arial" w:hAnsi="Arial"/>
          <w:sz w:val="21"/>
          <w:lang w:val="pt-BR"/>
        </w:rPr>
        <w:t xml:space="preserve">8.4. Responder pelos encargos fiscais, trabalhistas, previdenciários e comerciais de sua atividade e de seus empregados, sem vínculo destes com o LOCATÁRIO, observada a legislação aplicável. Não empregar trabalho infantil proibido ou em condições degradantes e cumprir as normas ambientais relativas à manutenção e ao descarte de resíduos.</w:t>
      </w:r>
    </w:p>
    <w:p>
      <w:pPr>
        <w:spacing w:before="0" w:after="90" w:line="264" w:lineRule="auto"/>
        <w:jc w:val="both"/>
        <w:widowControl/>
        <w:keepLines/>
      </w:pPr>
      <w:r>
        <w:rPr>
          <w:rFonts w:ascii="Arial" w:hAnsi="Arial"/>
          <w:sz w:val="21"/>
          <w:lang w:val="pt-BR"/>
        </w:rPr>
        <w:t xml:space="preserve">8.5. Não transferir o objeto ou sua gestão integral a terceiros. Oficinas, seguradoras e prestadores de assistência poderão atuar em atividades acessórias nas condições admitidas pelo edital e pelo art. 122, sob responsabilidade integral da LOCADORA. Não se admite substituição informal da pessoa contratada.</w:t>
      </w:r>
    </w:p>
    <w:p>
      <w:pPr>
        <w:spacing w:before="0" w:after="90" w:line="264" w:lineRule="auto"/>
        <w:jc w:val="both"/>
        <w:widowControl/>
        <w:keepLines/>
      </w:pPr>
      <w:r>
        <w:rPr>
          <w:rFonts w:ascii="Arial" w:hAnsi="Arial"/>
          <w:sz w:val="21"/>
          <w:lang w:val="pt-BR"/>
        </w:rPr>
        <w:t xml:space="preserve">8.6. Observar os impedimentos legais e a vedação de contratação de familiares de agentes públicos nas hipóteses do art. 48, parágrafo único, da Lei nº 14.133/2021, quando aplicável; abster-se de fraude, vantagem indevida e conflito de interesses e comunicar irregularidades ao gestor.</w:t>
      </w:r>
    </w:p>
    <w:p>
      <w:pPr>
        <w:spacing w:before="160" w:after="90" w:line="264" w:lineRule="auto"/>
        <w:jc w:val="left"/>
        <w:widowControl/>
        <w:keepLines/>
        <w:keepNext/>
      </w:pPr>
      <w:r>
        <w:rPr>
          <w:rFonts w:ascii="Arial" w:hAnsi="Arial"/>
          <w:sz w:val="21"/>
          <w:lang w:val="pt-BR"/>
          <w:b/>
        </w:rPr>
        <w:t xml:space="preserve">CLÁUSULA NONA — OBRIGAÇÕES DO LOCATÁRIO</w:t>
      </w:r>
    </w:p>
    <w:p>
      <w:pPr>
        <w:spacing w:before="0" w:after="90" w:line="264" w:lineRule="auto"/>
        <w:jc w:val="both"/>
        <w:widowControl/>
        <w:keepLines/>
      </w:pPr>
      <w:r>
        <w:rPr>
          <w:rFonts w:ascii="Arial" w:hAnsi="Arial"/>
          <w:sz w:val="21"/>
          <w:lang w:val="pt-BR"/>
        </w:rPr>
        <w:t xml:space="preserve">9.1. Designar gestor e fiscais, emitir ordens regulares, receber e inspecionar os veículos e notificar falhas. Fornecer informações necessárias à execução e pagar as parcelas devidas nos prazos, observada a medição e a ordem cronológica legal.</w:t>
      </w:r>
    </w:p>
    <w:p>
      <w:pPr>
        <w:spacing w:before="0" w:after="90" w:line="264" w:lineRule="auto"/>
        <w:jc w:val="both"/>
        <w:widowControl/>
        <w:keepLines/>
      </w:pPr>
      <w:r>
        <w:rPr>
          <w:rFonts w:ascii="Arial" w:hAnsi="Arial"/>
          <w:sz w:val="21"/>
          <w:lang w:val="pt-BR"/>
        </w:rPr>
        <w:t xml:space="preserve">9.2. Fornecer motoristas habilitados e combustível adequado. Despesas de pedágio e estacionamento decorrentes de missões autorizadas serão suportadas pelo LOCATÁRIO pelos meios administrativos próprios, sem cobrança presumida pela LOCADORA.</w:t>
      </w:r>
    </w:p>
    <w:p>
      <w:pPr>
        <w:spacing w:before="0" w:after="90" w:line="264" w:lineRule="auto"/>
        <w:jc w:val="both"/>
        <w:widowControl/>
        <w:keepLines/>
      </w:pPr>
      <w:r>
        <w:rPr>
          <w:rFonts w:ascii="Arial" w:hAnsi="Arial"/>
          <w:sz w:val="21"/>
          <w:lang w:val="pt-BR"/>
        </w:rPr>
        <w:t xml:space="preserve">9.3. Zelar pela utilização regular, guarda e comunicação de manutenção, defeitos e ocorrências; impedir circulação de veículo sem condições de segurança. A retirada de veículo para revisão será coordenada com a entrega do substituto para evitar descontinuidade.</w:t>
      </w:r>
    </w:p>
    <w:p>
      <w:pPr>
        <w:spacing w:before="0" w:after="90" w:line="264" w:lineRule="auto"/>
        <w:jc w:val="both"/>
        <w:widowControl/>
        <w:keepLines/>
      </w:pPr>
      <w:r>
        <w:rPr>
          <w:rFonts w:ascii="Arial" w:hAnsi="Arial"/>
          <w:sz w:val="21"/>
          <w:lang w:val="pt-BR"/>
        </w:rPr>
        <w:t xml:space="preserve">9.4. Identificar tempestivamente o condutor responsável por infração de condução. A LOCADORA deverá encaminhar a notificação em prazo que permita defesa e identificação legais. Multa por atraso ou omissão imputável à LOCADORA será suportada por esta; eventual responsabilidade administrativa ou pessoal do condutor será apurada na forma da lei, sem desconto automático em folha ou pagamento indiscriminado pelo Município.</w:t>
      </w:r>
    </w:p>
    <w:p>
      <w:pPr>
        <w:spacing w:before="160" w:after="90" w:line="264" w:lineRule="auto"/>
        <w:jc w:val="left"/>
        <w:widowControl/>
        <w:keepLines/>
        <w:keepNext/>
      </w:pPr>
      <w:r>
        <w:rPr>
          <w:rFonts w:ascii="Arial" w:hAnsi="Arial"/>
          <w:sz w:val="21"/>
          <w:lang w:val="pt-BR"/>
          <w:b/>
        </w:rPr>
        <w:t xml:space="preserve">CLÁUSULA DÉCIMA — PREÇO, QUANTIDADES E DOTAÇÃO</w:t>
      </w:r>
    </w:p>
    <w:p>
      <w:pPr>
        <w:spacing w:before="0" w:after="90" w:line="264" w:lineRule="auto"/>
        <w:jc w:val="both"/>
        <w:widowControl/>
        <w:keepLines/>
      </w:pPr>
      <w:r>
        <w:rPr>
          <w:rFonts w:ascii="Arial" w:hAnsi="Arial"/>
          <w:sz w:val="21"/>
          <w:lang w:val="pt-BR"/>
        </w:rPr>
        <w:t xml:space="preserve">10.1. O valor mensal contratado, consideradas todas as unidades do Anexo I, é R$ [VALOR MENSAL] ([EXTENSO MENSAL]); o valor global do período inicial é R$ #VL_CONTRATO (#EXTENSO). Os quantitativos, preços mensais unitários e totalizações deverão ser preenchidos e conferidos antes da assinatura.</w:t>
      </w:r>
    </w:p>
    <w:p>
      <w:pPr>
        <w:spacing w:before="0" w:after="90" w:line="264" w:lineRule="auto"/>
        <w:jc w:val="both"/>
        <w:widowControl/>
        <w:keepLines/>
      </w:pPr>
      <w:r>
        <w:rPr>
          <w:rFonts w:ascii="Arial" w:hAnsi="Arial"/>
          <w:sz w:val="21"/>
          <w:lang w:val="pt-BR"/>
        </w:rPr>
        <w:t xml:space="preserve">10.2. Os preços incluem todos os custos atribuídos à LOCADORA. A remuneração refere-se à disponibilidade aceita de cada veículo; quilômetros não percorridos não geram abatimento quando o bem permaneceu regularmente disponível. Não se remunera quantidade não contratada ou não disponibilizada.</w:t>
      </w:r>
    </w:p>
    <w:p>
      <w:pPr>
        <w:spacing w:before="0" w:after="90" w:line="264" w:lineRule="auto"/>
        <w:jc w:val="both"/>
        <w:widowControl/>
        <w:keepLines/>
      </w:pPr>
      <w:r>
        <w:rPr>
          <w:rFonts w:ascii="Arial" w:hAnsi="Arial"/>
          <w:sz w:val="21"/>
          <w:lang w:val="pt-BR"/>
        </w:rPr>
        <w:t xml:space="preserve">10.3. A despesa correrá por: órgão/unidade [PREENCHER]; função/subfunção/programa/ação [PREENCHER]; natureza da despesa [PREENCHER]; fonte [PREENCHER]; ficha [PREENCHER]; empenho [NÚMERO/EXERCÍCIO]. A classificação deverá ser confirmada pela contabilidade segundo o objeto e a natureza do contratado, sem preenchimento presumido.</w:t>
      </w:r>
    </w:p>
    <w:p>
      <w:pPr>
        <w:spacing w:before="0" w:after="90" w:line="264" w:lineRule="auto"/>
        <w:jc w:val="both"/>
        <w:widowControl/>
        <w:keepLines/>
      </w:pPr>
      <w:r>
        <w:rPr>
          <w:rFonts w:ascii="Arial" w:hAnsi="Arial"/>
          <w:sz w:val="21"/>
          <w:lang w:val="pt-BR"/>
        </w:rPr>
        <w:t xml:space="preserve">10.4. Nos exercícios seguintes, a Administração identificará os créditos e empenhos correspondentes, observados o planejamento plurianual quando cabível e as regras de continuidade e extinção legalmente aplicáveis.</w:t>
      </w:r>
    </w:p>
    <w:p>
      <w:pPr>
        <w:spacing w:before="160" w:after="90" w:line="264" w:lineRule="auto"/>
        <w:jc w:val="left"/>
        <w:widowControl/>
        <w:keepLines/>
        <w:keepNext/>
      </w:pPr>
      <w:r>
        <w:rPr>
          <w:rFonts w:ascii="Arial" w:hAnsi="Arial"/>
          <w:sz w:val="21"/>
          <w:lang w:val="pt-BR"/>
          <w:b/>
        </w:rPr>
        <w:t xml:space="preserve">CLÁUSULA DÉCIMA PRIMEIRA — MEDIÇÃO, GLOSAS E RECEBIMENTO MENSAL</w:t>
      </w:r>
    </w:p>
    <w:p>
      <w:pPr>
        <w:spacing w:before="0" w:after="90" w:line="264" w:lineRule="auto"/>
        <w:jc w:val="both"/>
        <w:widowControl/>
        <w:keepLines/>
      </w:pPr>
      <w:r>
        <w:rPr>
          <w:rFonts w:ascii="Arial" w:hAnsi="Arial"/>
          <w:sz w:val="21"/>
          <w:lang w:val="pt-BR"/>
        </w:rPr>
        <w:t xml:space="preserve">11.1. A medição será mensal e individualizada por veículo, com identificação do item, placa, período de disponibilização, substituições e intervalos de indisponibilidade, acompanhada dos termos de vistoria e ocorrências. A LOCADORA apresentará o relatório até o 5º dia útil do mês subsequente.</w:t>
      </w:r>
    </w:p>
    <w:p>
      <w:pPr>
        <w:spacing w:before="0" w:after="90" w:line="264" w:lineRule="auto"/>
        <w:jc w:val="both"/>
        <w:widowControl/>
        <w:keepLines/>
      </w:pPr>
      <w:r>
        <w:rPr>
          <w:rFonts w:ascii="Arial" w:hAnsi="Arial"/>
          <w:sz w:val="21"/>
          <w:lang w:val="pt-BR"/>
        </w:rPr>
        <w:t xml:space="preserve">11.2. Mês civil integral de disponibilidade corresponde ao preço mensal unitário. Em frações de mês, o valor será proporcional aos dias de disponibilidade no mês civil considerado. Para indisponibilidades fracionadas, será utilizada a proporção das horas comprovadas em relação às horas desse mês, sem dupla dedução dos mesmos períodos. O total será arredondado para centavos ao final da medição de cada item.</w:t>
      </w:r>
    </w:p>
    <w:p>
      <w:pPr>
        <w:spacing w:before="0" w:after="90" w:line="264" w:lineRule="auto"/>
        <w:jc w:val="both"/>
        <w:widowControl/>
        <w:keepLines/>
      </w:pPr>
      <w:r>
        <w:rPr>
          <w:rFonts w:ascii="Arial" w:hAnsi="Arial"/>
          <w:sz w:val="21"/>
          <w:lang w:val="pt-BR"/>
        </w:rPr>
        <w:t xml:space="preserve">11.3. O fiscal registrará provisoriamente a execução e, após conferência, o servidor ou comissão competente efetuará o recebimento definitivo mensal em até 5 dias úteis da apresentação completa do relatório. Divergências serão notificadas para correção. A medição não afasta responsabilização por vícios ou informações falsas.</w:t>
      </w:r>
    </w:p>
    <w:p>
      <w:pPr>
        <w:spacing w:before="0" w:after="90" w:line="264" w:lineRule="auto"/>
        <w:jc w:val="both"/>
        <w:widowControl/>
        <w:keepLines/>
      </w:pPr>
      <w:r>
        <w:rPr>
          <w:rFonts w:ascii="Arial" w:hAnsi="Arial"/>
          <w:sz w:val="21"/>
          <w:lang w:val="pt-BR"/>
        </w:rPr>
        <w:t xml:space="preserve">11.4. Glosas correspondem ao que não foi disponibilizado ou executado conforme o contrato e deverão ser motivadas e comunicadas, com oportunidade de manifestação. Não se confundem com multa. Havendo controvérsia sobre dimensão, qualidade ou quantidade, a parcela incontroversa será liberada no prazo regular, conforme art. 143.</w:t>
      </w:r>
    </w:p>
    <w:p>
      <w:pPr>
        <w:spacing w:before="160" w:after="90" w:line="264" w:lineRule="auto"/>
        <w:jc w:val="left"/>
        <w:widowControl/>
        <w:keepLines/>
        <w:keepNext/>
      </w:pPr>
      <w:r>
        <w:rPr>
          <w:rFonts w:ascii="Arial" w:hAnsi="Arial"/>
          <w:sz w:val="21"/>
          <w:lang w:val="pt-BR"/>
          <w:b/>
        </w:rPr>
        <w:t xml:space="preserve">CLÁUSULA DÉCIMA SEGUNDA — LIQUIDAÇÃO, PAGAMENTO E ATUALIZAÇÃO</w:t>
      </w:r>
    </w:p>
    <w:p>
      <w:pPr>
        <w:spacing w:before="0" w:after="90" w:line="264" w:lineRule="auto"/>
        <w:jc w:val="both"/>
        <w:widowControl/>
        <w:keepLines/>
      </w:pPr>
      <w:r>
        <w:rPr>
          <w:rFonts w:ascii="Arial" w:hAnsi="Arial"/>
          <w:sz w:val="21"/>
          <w:lang w:val="pt-BR"/>
        </w:rPr>
        <w:t xml:space="preserve">12.1. A nota fiscal será emitida após a apuração da medição, acompanhada dos documentos exigidos no procedimento. A liquidação ocorrerá em até 10 dias úteis do recebimento da nota fiscal e da documentação necessária, e o pagamento em até 10 dias úteis após a liquidação, observada a regulamentação municipal e a ordem cronológica do art. 141. Estes prazos deverão constar de forma idêntica no edital e no Termo de Referência.</w:t>
      </w:r>
    </w:p>
    <w:p>
      <w:pPr>
        <w:spacing w:before="0" w:after="90" w:line="264" w:lineRule="auto"/>
        <w:jc w:val="both"/>
        <w:widowControl/>
        <w:keepLines/>
      </w:pPr>
      <w:r>
        <w:rPr>
          <w:rFonts w:ascii="Arial" w:hAnsi="Arial"/>
          <w:sz w:val="21"/>
          <w:lang w:val="pt-BR"/>
        </w:rPr>
        <w:t xml:space="preserve">12.2. Erros que impeçam a liquidação serão especificados à LOCADORA; o prazo afetado ficará suspenso pelo tempo necessário à correção que lhe caiba, sem retenção da parcela incontroversa. A verificação de regularidade não autoriza reter indefinidamente remuneração por execução regularmente recebida; irregularidades serão tratadas pelos meios legais.</w:t>
      </w:r>
    </w:p>
    <w:p>
      <w:pPr>
        <w:spacing w:before="0" w:after="90" w:line="264" w:lineRule="auto"/>
        <w:jc w:val="both"/>
        <w:widowControl/>
        <w:keepLines/>
      </w:pPr>
      <w:r>
        <w:rPr>
          <w:rFonts w:ascii="Arial" w:hAnsi="Arial"/>
          <w:sz w:val="21"/>
          <w:lang w:val="pt-BR"/>
        </w:rPr>
        <w:t xml:space="preserve">12.3. O pagamento será em reais, por crédito em conta da LOCADORA identificada na proposta, com retenções tributárias legalmente exigíveis. Não haverá antecipação, pagamento de caução veicular, taxa de adesão, reserva ou mensalidade anterior à disponibilização aceita.</w:t>
      </w:r>
    </w:p>
    <w:p>
      <w:pPr>
        <w:spacing w:before="0" w:after="90" w:line="264" w:lineRule="auto"/>
        <w:jc w:val="both"/>
        <w:widowControl/>
        <w:keepLines/>
      </w:pPr>
      <w:r>
        <w:rPr>
          <w:rFonts w:ascii="Arial" w:hAnsi="Arial"/>
          <w:sz w:val="21"/>
          <w:lang w:val="pt-BR"/>
        </w:rPr>
        <w:t xml:space="preserve">12.4. Atraso de pagamento imputável à Administração ensejará atualização monetária pelo IPCA/IBGE, proporcional ao período entre o vencimento e o efetivo pagamento, mediante memória de cálculo. A apuração não abrange demora provocada exclusivamente pela LOCADORA. Encargos adicionais dependerão de fundamento legal e decisão motivada, vedada duplicidade de atualização.</w:t>
      </w:r>
    </w:p>
    <w:p>
      <w:pPr>
        <w:spacing w:before="160" w:after="90" w:line="264" w:lineRule="auto"/>
        <w:jc w:val="left"/>
        <w:widowControl/>
        <w:keepLines/>
        <w:keepNext/>
      </w:pPr>
      <w:r>
        <w:rPr>
          <w:rFonts w:ascii="Arial" w:hAnsi="Arial"/>
          <w:sz w:val="21"/>
          <w:lang w:val="pt-BR"/>
          <w:b/>
        </w:rPr>
        <w:t xml:space="preserve">CLÁUSULA DÉCIMA TERCEIRA — REAJUSTE E EQUILÍBRIO ECONÔMICO-FINANCEIRO</w:t>
      </w:r>
    </w:p>
    <w:p>
      <w:pPr>
        <w:spacing w:before="0" w:after="90" w:line="264" w:lineRule="auto"/>
        <w:jc w:val="both"/>
        <w:widowControl/>
        <w:keepLines/>
      </w:pPr>
      <w:r>
        <w:rPr>
          <w:rFonts w:ascii="Arial" w:hAnsi="Arial"/>
          <w:sz w:val="21"/>
          <w:lang w:val="pt-BR"/>
        </w:rPr>
        <w:t xml:space="preserve">13.1. O índice de reajuste adotado é o IPCA/IBGE, com data-base vinculada ao orçamento estimado em [DIA/MÊS/ANO DO ORÇAMENTO]. O primeiro reajuste somente produzirá efeitos após 12 meses dessa data-base; os seguintes respeitarão intervalo mínimo anual contado dos efeitos financeiros do último reajuste, observada a legislação.</w:t>
      </w:r>
    </w:p>
    <w:p>
      <w:pPr>
        <w:spacing w:before="0" w:after="90" w:line="264" w:lineRule="auto"/>
        <w:jc w:val="both"/>
        <w:widowControl/>
        <w:keepLines/>
      </w:pPr>
      <w:r>
        <w:rPr>
          <w:rFonts w:ascii="Arial" w:hAnsi="Arial"/>
          <w:sz w:val="21"/>
          <w:lang w:val="pt-BR"/>
        </w:rPr>
        <w:t xml:space="preserve">13.2. O reajuste atingirá as obrigações executadas a partir da data em que for devido, mediante aplicação da variação do índice no período pertinente e memória de cálculo, com formalização por apostila quando cabível. A data da assinatura ou da apresentação da proposta não substitui a data-base do orçamento estimado.</w:t>
      </w:r>
    </w:p>
    <w:p>
      <w:pPr>
        <w:spacing w:before="0" w:after="90" w:line="264" w:lineRule="auto"/>
        <w:jc w:val="both"/>
        <w:widowControl/>
        <w:keepLines/>
      </w:pPr>
      <w:r>
        <w:rPr>
          <w:rFonts w:ascii="Arial" w:hAnsi="Arial"/>
          <w:sz w:val="21"/>
          <w:lang w:val="pt-BR"/>
        </w:rPr>
        <w:t xml:space="preserve">13.3. O restabelecimento do equilíbrio poderá ser requerido nas hipóteses do art. 124, II, “d”, mediante prova do evento, nexo causal e impacto efetivo, respeitada a matriz de riscos e as exceções legais. Não haverá recomposição automática de variações ordinárias já alocadas ou abrangidas pelo reajuste, nem sobreposição de mecanismos sobre o mesmo custo e período.</w:t>
      </w:r>
    </w:p>
    <w:p>
      <w:pPr>
        <w:spacing w:before="0" w:after="90" w:line="264" w:lineRule="auto"/>
        <w:jc w:val="both"/>
        <w:widowControl/>
        <w:keepLines/>
      </w:pPr>
      <w:r>
        <w:rPr>
          <w:rFonts w:ascii="Arial" w:hAnsi="Arial"/>
          <w:sz w:val="21"/>
          <w:lang w:val="pt-BR"/>
        </w:rPr>
        <w:t xml:space="preserve">13.4. A Administração decidirá o pedido de reequilíbrio em até 30 dias corridos após concluída a instrução, admitida prorrogação motivada por igual período. A instrução será conduzida sem demora indevida e eventuais diligências serão específicas. O pedido deverá observar o art. 131, parágrafo único. Não se adota repactuação de mão de obra nesta locação sem dedicação exclusiva ou predominância de mão de obra; alteração desse enquadramento exige revisão prévia do planejamento e da minuta.</w:t>
      </w:r>
    </w:p>
    <w:p>
      <w:pPr>
        <w:spacing w:before="160" w:after="90" w:line="264" w:lineRule="auto"/>
        <w:jc w:val="left"/>
        <w:widowControl/>
        <w:keepLines/>
        <w:keepNext/>
      </w:pPr>
      <w:r>
        <w:rPr>
          <w:rFonts w:ascii="Arial" w:hAnsi="Arial"/>
          <w:sz w:val="21"/>
          <w:lang w:val="pt-BR"/>
          <w:b/>
        </w:rPr>
        <w:t xml:space="preserve">CLÁUSULA DÉCIMA QUARTA — GESTÃO E FISCALIZAÇÃO</w:t>
      </w:r>
    </w:p>
    <w:p>
      <w:pPr>
        <w:spacing w:before="0" w:after="90" w:line="264" w:lineRule="auto"/>
        <w:jc w:val="both"/>
        <w:widowControl/>
        <w:keepLines/>
      </w:pPr>
      <w:r>
        <w:rPr>
          <w:rFonts w:ascii="Arial" w:hAnsi="Arial"/>
          <w:sz w:val="21"/>
          <w:lang w:val="pt-BR"/>
        </w:rPr>
        <w:t xml:space="preserve">14.1. A execução será acompanhada por gestor [NOME/MATRÍCULA/ATO] e fiscal(is) [NOME/MATRÍCULA/ATO], com respectivos substitutos formalmente designados, conforme art. 117 e regulamentação municipal. Suas atribuições serão segregadas na forma aplicável.</w:t>
      </w:r>
    </w:p>
    <w:p>
      <w:pPr>
        <w:spacing w:before="0" w:after="90" w:line="264" w:lineRule="auto"/>
        <w:jc w:val="both"/>
        <w:widowControl/>
        <w:keepLines/>
      </w:pPr>
      <w:r>
        <w:rPr>
          <w:rFonts w:ascii="Arial" w:hAnsi="Arial"/>
          <w:sz w:val="21"/>
          <w:lang w:val="pt-BR"/>
        </w:rPr>
        <w:t xml:space="preserve">14.2. A fiscalização verificará documentação e cobertura de seguro, especificações, prazos de entrega/substituição, segurança, disponibilidade e exatidão das medições; manterá registro das ocorrências e comunicará ao gestor providências além de sua competência. Ordens, autorizações e comunicações relevantes serão documentadas.</w:t>
      </w:r>
    </w:p>
    <w:p>
      <w:pPr>
        <w:spacing w:before="0" w:after="90" w:line="264" w:lineRule="auto"/>
        <w:jc w:val="both"/>
        <w:widowControl/>
        <w:keepLines/>
      </w:pPr>
      <w:r>
        <w:rPr>
          <w:rFonts w:ascii="Arial" w:hAnsi="Arial"/>
          <w:sz w:val="21"/>
          <w:lang w:val="pt-BR"/>
        </w:rPr>
        <w:t xml:space="preserve">14.3. Solicitações e reclamações relativas à execução serão decididas motivadamente no prazo de até 30 dias corridos após concluída a instrução, prorrogável por igual período mediante justificativa, ressalvados prazos específicos deste contrato e o art. 123. O silêncio não importa aceite de alteração, reajuste ou prorrogação.</w:t>
      </w:r>
    </w:p>
    <w:p>
      <w:pPr>
        <w:spacing w:before="160" w:after="90" w:line="264" w:lineRule="auto"/>
        <w:jc w:val="left"/>
        <w:widowControl/>
        <w:keepLines/>
        <w:keepNext/>
      </w:pPr>
      <w:r>
        <w:rPr>
          <w:rFonts w:ascii="Arial" w:hAnsi="Arial"/>
          <w:sz w:val="21"/>
          <w:lang w:val="pt-BR"/>
          <w:b/>
        </w:rPr>
        <w:t xml:space="preserve">CLÁUSULA DÉCIMA QUINTA — GARANTIA DE EXECUÇÃO E RISCOS</w:t>
      </w:r>
    </w:p>
    <w:p>
      <w:pPr>
        <w:spacing w:before="0" w:after="90" w:line="264" w:lineRule="auto"/>
        <w:jc w:val="both"/>
        <w:widowControl/>
        <w:keepLines/>
      </w:pPr>
      <w:r>
        <w:rPr>
          <w:rFonts w:ascii="Arial" w:hAnsi="Arial"/>
          <w:sz w:val="21"/>
          <w:lang w:val="pt-BR"/>
        </w:rPr>
        <w:t xml:space="preserve">15.1. Esta minuta adota a não exigência de garantia de execução contratual, condicionada à motivação da autoridade competente na análise de riscos e à ausência de exigência no edital ou no ato de contratação. Caso o procedimento exija garantia, esta cláusula deverá ser substituída, antes da disputa, por disciplina completa compatível com os arts. 96 a 100. O seguro veicular da cláusula sétima permanece obrigatório e não se confunde com seguro-garantia.</w:t>
      </w:r>
    </w:p>
    <w:p>
      <w:pPr>
        <w:spacing w:before="0" w:after="90" w:line="264" w:lineRule="auto"/>
        <w:jc w:val="both"/>
        <w:widowControl/>
        <w:keepLines/>
      </w:pPr>
      <w:r>
        <w:rPr>
          <w:rFonts w:ascii="Arial" w:hAnsi="Arial"/>
          <w:sz w:val="21"/>
          <w:lang w:val="pt-BR"/>
        </w:rPr>
        <w:t xml:space="preserve">15.2. A distribuição de riscos está no Anexo III, que integra a formação dos preços e não afasta responsabilidades legais indisponíveis. Riscos ordinários de propriedade, manutenção e cobertura securitária recaem sobre a LOCADORA; condução, abastecimento e uso institucional recaem sobre o LOCATÁRIO, nos limites ali definidos.</w:t>
      </w:r>
    </w:p>
    <w:p>
      <w:pPr>
        <w:spacing w:before="160" w:after="90" w:line="264" w:lineRule="auto"/>
        <w:jc w:val="left"/>
        <w:widowControl/>
        <w:keepLines/>
        <w:keepNext/>
      </w:pPr>
      <w:r>
        <w:rPr>
          <w:rFonts w:ascii="Arial" w:hAnsi="Arial"/>
          <w:sz w:val="21"/>
          <w:lang w:val="pt-BR"/>
          <w:b/>
        </w:rPr>
        <w:t xml:space="preserve">CLÁUSULA DÉCIMA SEXTA — ALTERAÇÕES CONTRATUAIS</w:t>
      </w:r>
    </w:p>
    <w:p>
      <w:pPr>
        <w:spacing w:before="0" w:after="90" w:line="264" w:lineRule="auto"/>
        <w:jc w:val="both"/>
        <w:widowControl/>
        <w:keepLines/>
      </w:pPr>
      <w:r>
        <w:rPr>
          <w:rFonts w:ascii="Arial" w:hAnsi="Arial"/>
          <w:sz w:val="21"/>
          <w:lang w:val="pt-BR"/>
        </w:rPr>
        <w:t xml:space="preserve">16.1. Alterações observarão os arts. 124 a 136, sua motivação e formalização cabível, vedadas a transfiguração do objeto, a renovação tácita e a inclusão de motorista ou combustível por simples ordem de serviço. Aditivos não dispensam prévia disponibilidade orçamentária e avaliação do equilíbrio econômico-financeiro.</w:t>
      </w:r>
    </w:p>
    <w:p>
      <w:pPr>
        <w:spacing w:before="0" w:after="90" w:line="264" w:lineRule="auto"/>
        <w:jc w:val="both"/>
        <w:widowControl/>
        <w:keepLines/>
      </w:pPr>
      <w:r>
        <w:rPr>
          <w:rFonts w:ascii="Arial" w:hAnsi="Arial"/>
          <w:sz w:val="21"/>
          <w:lang w:val="pt-BR"/>
        </w:rPr>
        <w:t xml:space="preserve">16.2. Acréscimos e supressões unilaterais observarão o limite de 25% do valor inicial atualizado, na forma do art. 125, sem aplicação da exceção própria de reforma de edifício ou equipamento. Alterações consensuais dependerão de hipótese legal e análise específica; percentuais não autorizam mudança de objeto.</w:t>
      </w:r>
    </w:p>
    <w:p>
      <w:pPr>
        <w:spacing w:before="0" w:after="90" w:line="264" w:lineRule="auto"/>
        <w:jc w:val="both"/>
        <w:widowControl/>
        <w:keepLines/>
      </w:pPr>
      <w:r>
        <w:rPr>
          <w:rFonts w:ascii="Arial" w:hAnsi="Arial"/>
          <w:sz w:val="21"/>
          <w:lang w:val="pt-BR"/>
        </w:rPr>
        <w:t xml:space="preserve">16.3. Ajustes que não caracterizem alteração contratual poderão ser registrados por apostila nos casos do art. 136. Nenhum efeito financeiro será aplicado sem o ato competente e a correspondente memória de cálculo.</w:t>
      </w:r>
    </w:p>
    <w:p>
      <w:pPr>
        <w:spacing w:before="160" w:after="90" w:line="264" w:lineRule="auto"/>
        <w:jc w:val="left"/>
        <w:widowControl/>
        <w:keepLines/>
        <w:keepNext/>
      </w:pPr>
      <w:r>
        <w:rPr>
          <w:rFonts w:ascii="Arial" w:hAnsi="Arial"/>
          <w:sz w:val="21"/>
          <w:lang w:val="pt-BR"/>
          <w:b/>
        </w:rPr>
        <w:t xml:space="preserve">CLÁUSULA DÉCIMA SÉTIMA — INFRAÇÕES, MULTAS E DEFESA</w:t>
      </w:r>
    </w:p>
    <w:p>
      <w:pPr>
        <w:spacing w:before="0" w:after="90" w:line="264" w:lineRule="auto"/>
        <w:jc w:val="both"/>
        <w:widowControl/>
        <w:keepLines/>
      </w:pPr>
      <w:r>
        <w:rPr>
          <w:rFonts w:ascii="Arial" w:hAnsi="Arial"/>
          <w:sz w:val="21"/>
          <w:lang w:val="pt-BR"/>
        </w:rPr>
        <w:t xml:space="preserve">17.1. As condutas tipificadas no art. 155 sujeitam a LOCADORA às sanções legalmente cabíveis, mediante processo próprio. A advertência será reservada à inexecução parcial quando não se justificar sanção mais grave; impedimento e inidoneidade observarão as hipóteses, competências, abrangência e duração do art. 156.</w:t>
      </w:r>
    </w:p>
    <w:p>
      <w:pPr>
        <w:spacing w:before="0" w:after="90" w:line="264" w:lineRule="auto"/>
        <w:jc w:val="both"/>
        <w:widowControl/>
        <w:keepLines/>
      </w:pPr>
      <w:r>
        <w:rPr>
          <w:rFonts w:ascii="Arial" w:hAnsi="Arial"/>
          <w:sz w:val="21"/>
          <w:lang w:val="pt-BR"/>
        </w:rPr>
        <w:t xml:space="preserve">17.2. O atraso injustificado na entrega ou substituição sujeita a LOCADORA à multa moratória de 0,5% por dia de atraso sobre o valor mensal do(s) veículo(s) afetado(s), limitada a 10% dessa mesma base por ocorrência. A contagem inicia-se após o prazo contratual descumprido. Persistindo o atraso, a Administração avaliará a inexecução e as providências de continuidade e extinção; o limite não constitui autorização para descumprir.</w:t>
      </w:r>
    </w:p>
    <w:p>
      <w:pPr>
        <w:spacing w:before="0" w:after="90" w:line="264" w:lineRule="auto"/>
        <w:jc w:val="both"/>
        <w:widowControl/>
        <w:keepLines/>
      </w:pPr>
      <w:r>
        <w:rPr>
          <w:rFonts w:ascii="Arial" w:hAnsi="Arial"/>
          <w:sz w:val="21"/>
          <w:lang w:val="pt-BR"/>
        </w:rPr>
        <w:t xml:space="preserve">17.3. Para multa compensatória, adota-se 0,5% do valor global atualizado do contrato por inexecução parcial sem grave dano; 5% por inexecução parcial que cause grave dano à Administração, ao funcionamento do serviço ou ao interesse coletivo; e 20% por inexecução total. O enquadramento exigirá motivação e proporcionalidade, sem sobreposição por um mesmo fato, observados os limites de 0,5% a 30% do art. 156, § 3º. Outras infrações do art. 155 serão apuradas para as sanções legalmente cabíveis, sem criação de multa não prevista.</w:t>
      </w:r>
    </w:p>
    <w:p>
      <w:pPr>
        <w:spacing w:before="0" w:after="90" w:line="264" w:lineRule="auto"/>
        <w:jc w:val="both"/>
        <w:widowControl/>
        <w:keepLines/>
      </w:pPr>
      <w:r>
        <w:rPr>
          <w:rFonts w:ascii="Arial" w:hAnsi="Arial"/>
          <w:sz w:val="21"/>
          <w:lang w:val="pt-BR"/>
        </w:rPr>
        <w:t xml:space="preserve">17.4. A multa de mora poderá ser convertida em compensatória na forma do art. 162, deduzido o montante já aplicado pelo mesmo fato. Glosas, reparação de dano e sanções têm fundamentos distintos; sua aplicação não poderá gerar dupla cobrança do mesmo prejuízo. A soma das multas neste contrato fica limitada a 30% do valor global atualizado, sem afastar indenização de dano comprovado na forma legal.</w:t>
      </w:r>
    </w:p>
    <w:p>
      <w:pPr>
        <w:spacing w:before="0" w:after="90" w:line="264" w:lineRule="auto"/>
        <w:jc w:val="both"/>
        <w:widowControl/>
        <w:keepLines/>
      </w:pPr>
      <w:r>
        <w:rPr>
          <w:rFonts w:ascii="Arial" w:hAnsi="Arial"/>
          <w:sz w:val="21"/>
          <w:lang w:val="pt-BR"/>
        </w:rPr>
        <w:t xml:space="preserve">17.5. A imposição de multa assegurará defesa em 15 dias úteis da intimação. Impedimento e inidoneidade observarão o processo de responsabilização do art. 158; recursos e reconsideração seguirão os arts. 166 a 168, inclusive o efeito suspensivo legal. Sanções e sua cobrança dependerão de decisão competente e das garantias processuais aplicáveis.</w:t>
      </w:r>
    </w:p>
    <w:p>
      <w:pPr>
        <w:spacing w:before="160" w:after="90" w:line="264" w:lineRule="auto"/>
        <w:jc w:val="left"/>
        <w:widowControl/>
        <w:keepLines/>
        <w:keepNext/>
      </w:pPr>
      <w:r>
        <w:rPr>
          <w:rFonts w:ascii="Arial" w:hAnsi="Arial"/>
          <w:sz w:val="21"/>
          <w:lang w:val="pt-BR"/>
          <w:b/>
        </w:rPr>
        <w:t xml:space="preserve">CLÁUSULA DÉCIMA OITAVA — EXTINÇÃO E DEVOLUÇÃO</w:t>
      </w:r>
    </w:p>
    <w:p>
      <w:pPr>
        <w:spacing w:before="0" w:after="90" w:line="264" w:lineRule="auto"/>
        <w:jc w:val="both"/>
        <w:widowControl/>
        <w:keepLines/>
      </w:pPr>
      <w:r>
        <w:rPr>
          <w:rFonts w:ascii="Arial" w:hAnsi="Arial"/>
          <w:sz w:val="21"/>
          <w:lang w:val="pt-BR"/>
        </w:rPr>
        <w:t xml:space="preserve">18.1. O contrato extingue-se pelo término de sua vigência ou pelas hipóteses dos arts. 137 a 139, mediante motivação, contraditório e ampla defesa quando cabíveis. A extinção poderá ser unilateral, consensual ou determinada por decisão judicial ou arbitral nos casos legalmente admitidos, sem presumir cláusula compromissória de arbitragem neste instrumento.</w:t>
      </w:r>
    </w:p>
    <w:p>
      <w:pPr>
        <w:spacing w:before="0" w:after="90" w:line="264" w:lineRule="auto"/>
        <w:jc w:val="both"/>
        <w:widowControl/>
        <w:keepLines/>
      </w:pPr>
      <w:r>
        <w:rPr>
          <w:rFonts w:ascii="Arial" w:hAnsi="Arial"/>
          <w:sz w:val="21"/>
          <w:lang w:val="pt-BR"/>
        </w:rPr>
        <w:t xml:space="preserve">18.2. A LOCADORA poderá exercer os direitos previstos em lei em caso de inadimplemento da Administração, observados os requisitos, prazos e exceções do art. 137. Não poderá retirar veículo em uso, bloquear remotamente a circulação ou criar risco a pessoas como forma de cobrança.</w:t>
      </w:r>
    </w:p>
    <w:p>
      <w:pPr>
        <w:spacing w:before="0" w:after="90" w:line="264" w:lineRule="auto"/>
        <w:jc w:val="both"/>
        <w:widowControl/>
        <w:keepLines/>
      </w:pPr>
      <w:r>
        <w:rPr>
          <w:rFonts w:ascii="Arial" w:hAnsi="Arial"/>
          <w:sz w:val="21"/>
          <w:lang w:val="pt-BR"/>
        </w:rPr>
        <w:t xml:space="preserve">18.3. A devolução ocorrerá mediante vistoria e termo próprio, no local de entrega ou em outro previamente acordado. A LOCADORA providenciará a retirada em até 2 dias úteis da comunicação de disponibilidade para devolução. Com a efetiva disponibilização documentada para retirada e cessação do uso pelo LOCATÁRIO, não haverá cobrança por demora exclusivamente atribuível à LOCADORA.</w:t>
      </w:r>
    </w:p>
    <w:p>
      <w:pPr>
        <w:spacing w:before="0" w:after="90" w:line="264" w:lineRule="auto"/>
        <w:jc w:val="both"/>
        <w:widowControl/>
        <w:keepLines/>
      </w:pPr>
      <w:r>
        <w:rPr>
          <w:rFonts w:ascii="Arial" w:hAnsi="Arial"/>
          <w:sz w:val="21"/>
          <w:lang w:val="pt-BR"/>
        </w:rPr>
        <w:t xml:space="preserve">18.4. O encerramento incluirá medição final, verificação de obrigações, eventual saldo de pagamento e apuração específica de danos e multas. Não se impõe ao LOCATÁRIO a compra do veículo, indenização por desgaste normal ou pagamento de todas as mensalidades futuras como penalidade automática.</w:t>
      </w:r>
    </w:p>
    <w:p>
      <w:pPr>
        <w:spacing w:before="160" w:after="90" w:line="264" w:lineRule="auto"/>
        <w:jc w:val="left"/>
        <w:widowControl/>
        <w:keepLines/>
        <w:keepNext/>
      </w:pPr>
      <w:r>
        <w:rPr>
          <w:rFonts w:ascii="Arial" w:hAnsi="Arial"/>
          <w:sz w:val="21"/>
          <w:lang w:val="pt-BR"/>
          <w:b/>
        </w:rPr>
        <w:t xml:space="preserve">CLÁUSULA DÉCIMA NONA — PROTEÇÃO DE DADOS E CONFIDENCIALIDADE</w:t>
      </w:r>
    </w:p>
    <w:p>
      <w:pPr>
        <w:spacing w:before="0" w:after="90" w:line="264" w:lineRule="auto"/>
        <w:jc w:val="both"/>
        <w:widowControl/>
        <w:keepLines/>
      </w:pPr>
      <w:r>
        <w:rPr>
          <w:rFonts w:ascii="Arial" w:hAnsi="Arial"/>
          <w:sz w:val="21"/>
          <w:lang w:val="pt-BR"/>
        </w:rPr>
        <w:t xml:space="preserve">19.1. Dados de condutores, contatos, ocorrências e deslocamentos serão tratados apenas na extensão necessária à contratação e ao cumprimento de obrigações legais, observada a Lei nº 13.709/2018. Eventual rastreamento dependerá de previsão expressa no Termo de Referência, finalidade definida, controle de acesso e informação aos usuários.</w:t>
      </w:r>
    </w:p>
    <w:p>
      <w:pPr>
        <w:spacing w:before="0" w:after="90" w:line="264" w:lineRule="auto"/>
        <w:jc w:val="both"/>
        <w:widowControl/>
        <w:keepLines/>
      </w:pPr>
      <w:r>
        <w:rPr>
          <w:rFonts w:ascii="Arial" w:hAnsi="Arial"/>
          <w:sz w:val="21"/>
          <w:lang w:val="pt-BR"/>
        </w:rPr>
        <w:t xml:space="preserve">19.2. A LOCADORA protegerá informações e credenciais, comunicará incidentes ao LOCATÁRIO sem demora injustificada e colaborará com as providências legais. É vedado comercializar ou reutilizar dados de trajetos para finalidade estranha à execução. Retenção e eliminação seguirão os deveres legais e arquivísticos aplicáveis; a transparência pública será conciliada com a proteção dos dados pessoais.</w:t>
      </w:r>
    </w:p>
    <w:p>
      <w:pPr>
        <w:spacing w:before="160" w:after="90" w:line="264" w:lineRule="auto"/>
        <w:jc w:val="left"/>
        <w:widowControl/>
        <w:keepLines/>
        <w:keepNext/>
      </w:pPr>
      <w:r>
        <w:rPr>
          <w:rFonts w:ascii="Arial" w:hAnsi="Arial"/>
          <w:sz w:val="21"/>
          <w:lang w:val="pt-BR"/>
          <w:b/>
        </w:rPr>
        <w:t xml:space="preserve">CLÁUSULA VIGÉSIMA — PUBLICIDADE, EFICÁCIA E CASOS OMISSOS</w:t>
      </w:r>
    </w:p>
    <w:p>
      <w:pPr>
        <w:spacing w:before="0" w:after="90" w:line="264" w:lineRule="auto"/>
        <w:jc w:val="both"/>
        <w:widowControl/>
        <w:keepLines/>
      </w:pPr>
      <w:r>
        <w:rPr>
          <w:rFonts w:ascii="Arial" w:hAnsi="Arial"/>
          <w:sz w:val="21"/>
          <w:lang w:val="pt-BR"/>
        </w:rPr>
        <w:t xml:space="preserve">20.1. Compete à Administração divulgar este contrato e seus aditamentos no PNCP, como condição de eficácia, nos prazos do art. 94: 20 dias úteis da assinatura para licitação e 10 dias úteis para contratação direta. Aplicam-se as exceções e regras transitórias somente quando efetivamente incidentes e fundamentadas no processo. A execução ordinária não será iniciada antes da eficácia legal.</w:t>
      </w:r>
    </w:p>
    <w:p>
      <w:pPr>
        <w:spacing w:before="0" w:after="90" w:line="264" w:lineRule="auto"/>
        <w:jc w:val="both"/>
        <w:widowControl/>
        <w:keepLines/>
      </w:pPr>
      <w:r>
        <w:rPr>
          <w:rFonts w:ascii="Arial" w:hAnsi="Arial"/>
          <w:sz w:val="21"/>
          <w:lang w:val="pt-BR"/>
        </w:rPr>
        <w:t xml:space="preserve">20.2. A divulgação em sítio oficial e os demais deveres de transparência observarão a legislação. A celebração não dispensa a conferência da habilitação, das competências dos signatários e dos impedimentos legais.</w:t>
      </w:r>
    </w:p>
    <w:p>
      <w:pPr>
        <w:spacing w:before="0" w:after="90" w:line="264" w:lineRule="auto"/>
        <w:jc w:val="both"/>
        <w:widowControl/>
        <w:keepLines/>
      </w:pPr>
      <w:r>
        <w:rPr>
          <w:rFonts w:ascii="Arial" w:hAnsi="Arial"/>
          <w:sz w:val="21"/>
          <w:lang w:val="pt-BR"/>
        </w:rPr>
        <w:t xml:space="preserve">20.3. O contrato é executado e pago em reais no território nacional; não há contratação de importação nem conversão cambial. Casos omissos serão resolvidos pela autoridade competente segundo a Lei nº 14.133/2021 e a legislação aplicável, sem criação de obrigação por ajuste verbal.</w:t>
      </w:r>
    </w:p>
    <w:p>
      <w:pPr>
        <w:spacing w:before="160" w:after="90" w:line="264" w:lineRule="auto"/>
        <w:jc w:val="left"/>
        <w:widowControl/>
        <w:keepLines/>
        <w:keepNext/>
      </w:pPr>
      <w:r>
        <w:rPr>
          <w:rFonts w:ascii="Arial" w:hAnsi="Arial"/>
          <w:sz w:val="21"/>
          <w:lang w:val="pt-BR"/>
          <w:b/>
        </w:rPr>
        <w:t xml:space="preserve">CLÁUSULA VIGÉSIMA PRIMEIRA — FORO E ASSINATURAS</w:t>
      </w:r>
    </w:p>
    <w:p>
      <w:pPr>
        <w:spacing w:before="0" w:after="90" w:line="264" w:lineRule="auto"/>
        <w:jc w:val="both"/>
        <w:widowControl/>
        <w:keepLines/>
      </w:pPr>
      <w:r>
        <w:rPr>
          <w:rFonts w:ascii="Arial" w:hAnsi="Arial"/>
          <w:sz w:val="21"/>
          <w:lang w:val="pt-BR"/>
        </w:rPr>
        <w:t xml:space="preserve">21.1. Fica eleito o foro da Comarca de Niquelândia/GO, sede da Administração contratante, para as questões contratuais, conforme art. 92, § 1º, sem prejuízo dos meios consensuais legalmente admitidos e da competência jurisdicional legalmente estabelecida.</w:t>
      </w:r>
    </w:p>
    <w:p>
      <w:pPr>
        <w:spacing w:before="0" w:after="90" w:line="264" w:lineRule="auto"/>
        <w:jc w:val="both"/>
        <w:widowControl/>
        <w:keepLines/>
      </w:pPr>
      <w:r>
        <w:rPr>
          <w:rFonts w:ascii="Arial" w:hAnsi="Arial"/>
          <w:sz w:val="21"/>
          <w:lang w:val="pt-BR"/>
        </w:rPr>
        <w:t xml:space="preserve">21.2. Lido e aceito, este instrumento será assinado pelos representantes competentes, admitida a forma eletrônica válida. Os anexos integram o mesmo instrumento e deverão ser concluídos e conferidos antes da assinatura.</w:t>
      </w:r>
    </w:p>
    <w:p>
      <w:pPr>
        <w:spacing w:before="0" w:after="35" w:line="240" w:lineRule="auto"/>
        <w:jc w:val="both"/>
        <w:widowControl/>
        <w:keepLines/>
        <w:keepNext/>
      </w:pPr>
      <w:r>
        <w:rPr>
          <w:rFonts w:ascii="Arial" w:hAnsi="Arial"/>
          <w:sz w:val="18"/>
          <w:lang w:val="pt-BR"/>
        </w:rPr>
        <w:t xml:space="preserve">NIQUELÂNDIA-GO, #DATA_CONTRATO.</w:t>
      </w:r>
    </w:p>
    <w:p>
      <w:pPr>
        <w:spacing w:before="0" w:after="35" w:line="240" w:lineRule="auto"/>
        <w:jc w:val="both"/>
        <w:widowControl/>
        <w:keepLines/>
        <w:keepNext/>
      </w:pPr>
      <w:r>
        <w:rPr>
          <w:rFonts w:ascii="Arial" w:hAnsi="Arial"/>
          <w:sz w:val="18"/>
          <w:lang w:val="pt-BR"/>
        </w:rPr>
        <w:t xml:space="preserve">CONTRATANTE / LOCATÁRIO: #NOME_GESTOR — #CARGO_GESTOR — [ASSINATURA]</w:t>
      </w:r>
    </w:p>
    <w:p>
      <w:pPr>
        <w:spacing w:before="0" w:after="35" w:line="240" w:lineRule="auto"/>
        <w:jc w:val="both"/>
        <w:widowControl/>
        <w:keepLines/>
        <w:keepNext/>
      </w:pPr>
      <w:r>
        <w:rPr>
          <w:rFonts w:ascii="Arial" w:hAnsi="Arial"/>
          <w:sz w:val="18"/>
          <w:lang w:val="pt-BR"/>
        </w:rPr>
        <w:t xml:space="preserve">CONTRATADA / LOCADORA: #FORNECEDOR — #REPRESENTANTE_FORNECEDOR — [ASSINATURA]</w:t>
      </w:r>
    </w:p>
    <w:p>
      <w:pPr>
        <w:spacing w:before="0" w:after="35" w:line="240" w:lineRule="auto"/>
        <w:jc w:val="both"/>
        <w:widowControl/>
        <w:keepLines/>
        <w:keepNext/>
      </w:pPr>
      <w:r>
        <w:rPr>
          <w:rFonts w:ascii="Arial" w:hAnsi="Arial"/>
          <w:sz w:val="18"/>
          <w:lang w:val="pt-BR"/>
        </w:rPr>
        <w:t xml:space="preserve">TESTEMUNHA 1: [NOME / IDENTIFICAÇÃO NECESSÁRIA / ASSINATURA]</w:t>
      </w:r>
    </w:p>
    <w:p>
      <w:pPr>
        <w:spacing w:before="0" w:after="35" w:line="240" w:lineRule="auto"/>
        <w:jc w:val="both"/>
        <w:widowControl/>
        <w:keepLines/>
      </w:pPr>
      <w:r>
        <w:rPr>
          <w:rFonts w:ascii="Arial" w:hAnsi="Arial"/>
          <w:sz w:val="18"/>
          <w:lang w:val="pt-BR"/>
        </w:rPr>
        <w:t xml:space="preserve">TESTEMUNHA 2: [NOME / IDENTIFICAÇÃO NECESSÁRIA / ASSINATURA]</w:t>
      </w:r>
    </w:p>
    <w:p>
      <w:pPr>
        <w:spacing w:before="160" w:after="90" w:line="264" w:lineRule="auto"/>
        <w:jc w:val="left"/>
        <w:widowControl/>
        <w:keepLines/>
        <w:keepNext/>
        <w:pageBreakBefore/>
      </w:pPr>
      <w:r>
        <w:rPr>
          <w:rFonts w:ascii="Arial" w:hAnsi="Arial"/>
          <w:sz w:val="21"/>
          <w:lang w:val="pt-BR"/>
          <w:b/>
        </w:rPr>
        <w:t xml:space="preserve">ANEXO I — QUADRO DE VEÍCULOS, PREÇOS E CONDIÇÕES</w:t>
      </w:r>
    </w:p>
    <w:p>
      <w:pPr>
        <w:spacing w:before="0" w:after="90" w:line="264" w:lineRule="auto"/>
        <w:jc w:val="both"/>
        <w:widowControl/>
        <w:keepLines/>
      </w:pPr>
      <w:r>
        <w:rPr>
          <w:rFonts w:ascii="Arial" w:hAnsi="Arial"/>
          <w:sz w:val="21"/>
          <w:lang w:val="pt-BR"/>
        </w:rPr>
        <w:t xml:space="preserve">Preencher uma linha para cada categoria efetivamente contratada. Quantidade significa número de veículos; meses significa duração remunerada. Valor mensal do item = quantidade × preço mensal por veículo; valor do período = valor mensal do item × meses. Os valores devem corresponder à proposta e ao período aprovado, sem duplicar quantidade na unidade de medida.</w:t>
      </w:r>
    </w:p>
    <w:tbl>
      <w:tblPr>
        <w:tblW w:w="10260" w:type="dxa"/>
        <w:tblLayout w:type="fixed"/>
        <w:tblBorders>
          <w:top w:val="single" w:sz="4" w:color="64748B"/>
          <w:left w:val="single" w:sz="4" w:color="64748B"/>
          <w:bottom w:val="single" w:sz="4" w:color="64748B"/>
          <w:right w:val="single" w:sz="4" w:color="64748B"/>
          <w:insideH w:val="single" w:sz="4" w:color="64748B"/>
          <w:insideV w:val="single" w:sz="4" w:color="64748B"/>
        </w:tblBorders>
      </w:tblPr>
      <w:tblGrid>
        <w:gridCol w:w="410"/>
        <w:gridCol w:w="3488"/>
        <w:gridCol w:w="821"/>
        <w:gridCol w:w="718"/>
        <w:gridCol w:w="1539"/>
        <w:gridCol w:w="1642"/>
        <w:gridCol w:w="1642"/>
      </w:tblGrid>
      <w:tr>
        <w:trPr>
          <w:cantSplit/>
          <w:tblHeader/>
        </w:trPr>
        <w:tc>
          <w:tcPr>
            <w:tcW w:w="410" w:type="dxa"/>
            <w:shd w:fill="E9EFF7"/>
          </w:tcPr>
          <w:p>
            <w:pPr>
              <w:spacing w:before="0" w:after="90" w:line="264" w:lineRule="auto"/>
              <w:jc w:val="left"/>
              <w:widowControl/>
              <w:keepLines/>
              <w:keepNext/>
            </w:pPr>
            <w:r>
              <w:rPr>
                <w:rFonts w:ascii="Arial" w:hAnsi="Arial"/>
                <w:sz w:val="18"/>
                <w:lang w:val="pt-BR"/>
                <w:b/>
              </w:rPr>
              <w:t xml:space="preserve">Item</w:t>
            </w:r>
          </w:p>
        </w:tc>
        <w:tc>
          <w:tcPr>
            <w:tcW w:w="3488" w:type="dxa"/>
            <w:shd w:fill="E9EFF7"/>
          </w:tcPr>
          <w:p>
            <w:pPr>
              <w:spacing w:before="0" w:after="90" w:line="264" w:lineRule="auto"/>
              <w:jc w:val="left"/>
              <w:widowControl/>
              <w:keepLines/>
              <w:keepNext/>
            </w:pPr>
            <w:r>
              <w:rPr>
                <w:rFonts w:ascii="Arial" w:hAnsi="Arial"/>
                <w:sz w:val="18"/>
                <w:lang w:val="pt-BR"/>
                <w:b/>
              </w:rPr>
              <w:t xml:space="preserve">Categoria e especificação mínima</w:t>
            </w:r>
          </w:p>
        </w:tc>
        <w:tc>
          <w:tcPr>
            <w:tcW w:w="821" w:type="dxa"/>
            <w:shd w:fill="E9EFF7"/>
          </w:tcPr>
          <w:p>
            <w:pPr>
              <w:spacing w:before="0" w:after="90" w:line="264" w:lineRule="auto"/>
              <w:jc w:val="left"/>
              <w:widowControl/>
              <w:keepLines/>
              <w:keepNext/>
            </w:pPr>
            <w:r>
              <w:rPr>
                <w:rFonts w:ascii="Arial" w:hAnsi="Arial"/>
                <w:sz w:val="18"/>
                <w:lang w:val="pt-BR"/>
                <w:b/>
              </w:rPr>
              <w:t xml:space="preserve">Nº de veículos</w:t>
            </w:r>
          </w:p>
        </w:tc>
        <w:tc>
          <w:tcPr>
            <w:tcW w:w="718" w:type="dxa"/>
            <w:shd w:fill="E9EFF7"/>
          </w:tcPr>
          <w:p>
            <w:pPr>
              <w:spacing w:before="0" w:after="90" w:line="264" w:lineRule="auto"/>
              <w:jc w:val="left"/>
              <w:widowControl/>
              <w:keepLines/>
              <w:keepNext/>
            </w:pPr>
            <w:r>
              <w:rPr>
                <w:rFonts w:ascii="Arial" w:hAnsi="Arial"/>
                <w:sz w:val="18"/>
                <w:lang w:val="pt-BR"/>
                <w:b/>
              </w:rPr>
              <w:t xml:space="preserve">Meses</w:t>
            </w:r>
          </w:p>
        </w:tc>
        <w:tc>
          <w:tcPr>
            <w:tcW w:w="1539" w:type="dxa"/>
            <w:shd w:fill="E9EFF7"/>
          </w:tcPr>
          <w:p>
            <w:pPr>
              <w:spacing w:before="0" w:after="90" w:line="264" w:lineRule="auto"/>
              <w:jc w:val="left"/>
              <w:widowControl/>
              <w:keepLines/>
              <w:keepNext/>
            </w:pPr>
            <w:r>
              <w:rPr>
                <w:rFonts w:ascii="Arial" w:hAnsi="Arial"/>
                <w:sz w:val="18"/>
                <w:lang w:val="pt-BR"/>
                <w:b/>
              </w:rPr>
              <w:t xml:space="preserve">R$/veículo-mês</w:t>
            </w:r>
          </w:p>
        </w:tc>
        <w:tc>
          <w:tcPr>
            <w:tcW w:w="1642" w:type="dxa"/>
            <w:shd w:fill="E9EFF7"/>
          </w:tcPr>
          <w:p>
            <w:pPr>
              <w:spacing w:before="0" w:after="90" w:line="264" w:lineRule="auto"/>
              <w:jc w:val="left"/>
              <w:widowControl/>
              <w:keepLines/>
              <w:keepNext/>
            </w:pPr>
            <w:r>
              <w:rPr>
                <w:rFonts w:ascii="Arial" w:hAnsi="Arial"/>
                <w:sz w:val="18"/>
                <w:lang w:val="pt-BR"/>
                <w:b/>
              </w:rPr>
              <w:t xml:space="preserve">R$/mês do item</w:t>
            </w:r>
          </w:p>
        </w:tc>
        <w:tc>
          <w:tcPr>
            <w:tcW w:w="1642" w:type="dxa"/>
            <w:shd w:fill="E9EFF7"/>
          </w:tcPr>
          <w:p>
            <w:pPr>
              <w:spacing w:before="0" w:after="90" w:line="264" w:lineRule="auto"/>
              <w:jc w:val="left"/>
              <w:widowControl/>
              <w:keepLines/>
              <w:keepNext/>
            </w:pPr>
            <w:r>
              <w:rPr>
                <w:rFonts w:ascii="Arial" w:hAnsi="Arial"/>
                <w:sz w:val="18"/>
                <w:lang w:val="pt-BR"/>
                <w:b/>
              </w:rPr>
              <w:t xml:space="preserve">R$ do período</w:t>
            </w:r>
          </w:p>
        </w:tc>
      </w:tr>
      <w:tr>
        <w:trPr>
          <w:cantSplit/>
        </w:trPr>
        <w:tc>
          <w:tcPr>
            <w:tcW w:w="410" w:type="dxa"/>
          </w:tcPr>
          <w:p>
            <w:pPr>
              <w:spacing w:before="0" w:after="90" w:line="264" w:lineRule="auto"/>
              <w:jc w:val="left"/>
              <w:widowControl/>
              <w:keepLines/>
            </w:pPr>
            <w:r>
              <w:rPr>
                <w:rFonts w:ascii="Arial" w:hAnsi="Arial"/>
                <w:sz w:val="18"/>
                <w:lang w:val="pt-BR"/>
              </w:rPr>
              <w:t xml:space="preserve">[ITEM]</w:t>
            </w:r>
          </w:p>
        </w:tc>
        <w:tc>
          <w:tcPr>
            <w:tcW w:w="3488" w:type="dxa"/>
          </w:tcPr>
          <w:p>
            <w:pPr>
              <w:spacing w:before="0" w:after="90" w:line="264" w:lineRule="auto"/>
              <w:jc w:val="left"/>
              <w:widowControl/>
              <w:keepLines/>
            </w:pPr>
            <w:r>
              <w:rPr>
                <w:rFonts w:ascii="Arial" w:hAnsi="Arial"/>
                <w:sz w:val="18"/>
                <w:lang w:val="pt-BR"/>
              </w:rPr>
              <w:t xml:space="preserve">[CATEGORIA, CAPACIDADE, ANO/IDADE MÁXIMA, CONDIÇÕES, EQUIPAMENTOS]</w:t>
            </w:r>
          </w:p>
        </w:tc>
        <w:tc>
          <w:tcPr>
            <w:tcW w:w="821" w:type="dxa"/>
          </w:tcPr>
          <w:p>
            <w:pPr>
              <w:spacing w:before="0" w:after="90" w:line="264" w:lineRule="auto"/>
              <w:jc w:val="left"/>
              <w:widowControl/>
              <w:keepLines/>
            </w:pPr>
            <w:r>
              <w:rPr>
                <w:rFonts w:ascii="Arial" w:hAnsi="Arial"/>
                <w:sz w:val="18"/>
                <w:lang w:val="pt-BR"/>
              </w:rPr>
              <w:t xml:space="preserve">[QTD]</w:t>
            </w:r>
          </w:p>
        </w:tc>
        <w:tc>
          <w:tcPr>
            <w:tcW w:w="718" w:type="dxa"/>
          </w:tcPr>
          <w:p>
            <w:pPr>
              <w:spacing w:before="0" w:after="90" w:line="264" w:lineRule="auto"/>
              <w:jc w:val="left"/>
              <w:widowControl/>
              <w:keepLines/>
            </w:pPr>
            <w:r>
              <w:rPr>
                <w:rFonts w:ascii="Arial" w:hAnsi="Arial"/>
                <w:sz w:val="18"/>
                <w:lang w:val="pt-BR"/>
              </w:rPr>
              <w:t xml:space="preserve">[MESES]</w:t>
            </w:r>
          </w:p>
        </w:tc>
        <w:tc>
          <w:tcPr>
            <w:tcW w:w="1539" w:type="dxa"/>
          </w:tcPr>
          <w:p>
            <w:pPr>
              <w:spacing w:before="0" w:after="90" w:line="264" w:lineRule="auto"/>
              <w:jc w:val="left"/>
              <w:widowControl/>
              <w:keepLines/>
            </w:pPr>
            <w:r>
              <w:rPr>
                <w:rFonts w:ascii="Arial" w:hAnsi="Arial"/>
                <w:sz w:val="18"/>
                <w:lang w:val="pt-BR"/>
              </w:rPr>
              <w:t xml:space="preserve">[PREÇO]</w:t>
            </w:r>
          </w:p>
        </w:tc>
        <w:tc>
          <w:tcPr>
            <w:tcW w:w="1642" w:type="dxa"/>
          </w:tcPr>
          <w:p>
            <w:pPr>
              <w:spacing w:before="0" w:after="90" w:line="264" w:lineRule="auto"/>
              <w:jc w:val="left"/>
              <w:widowControl/>
              <w:keepLines/>
            </w:pPr>
            <w:r>
              <w:rPr>
                <w:rFonts w:ascii="Arial" w:hAnsi="Arial"/>
                <w:sz w:val="18"/>
                <w:lang w:val="pt-BR"/>
              </w:rPr>
              <w:t xml:space="preserve">[TOTAL MENSAL]</w:t>
            </w:r>
          </w:p>
        </w:tc>
        <w:tc>
          <w:tcPr>
            <w:tcW w:w="1642" w:type="dxa"/>
          </w:tcPr>
          <w:p>
            <w:pPr>
              <w:spacing w:before="0" w:after="90" w:line="264" w:lineRule="auto"/>
              <w:jc w:val="left"/>
              <w:widowControl/>
              <w:keepLines/>
            </w:pPr>
            <w:r>
              <w:rPr>
                <w:rFonts w:ascii="Arial" w:hAnsi="Arial"/>
                <w:sz w:val="18"/>
                <w:lang w:val="pt-BR"/>
              </w:rPr>
              <w:t xml:space="preserve">[TOTAL PERÍODO]</w:t>
            </w:r>
          </w:p>
        </w:tc>
      </w:tr>
      <w:tr>
        <w:trPr>
          <w:cantSplit/>
        </w:trPr>
        <w:tc>
          <w:tcPr>
            <w:tcW w:w="410" w:type="dxa"/>
          </w:tcPr>
          <w:p>
            <w:pPr>
              <w:spacing w:before="0" w:after="90" w:line="264" w:lineRule="auto"/>
              <w:jc w:val="left"/>
              <w:widowControl/>
              <w:keepLines/>
            </w:pPr>
            <w:r>
              <w:rPr>
                <w:rFonts w:ascii="Arial" w:hAnsi="Arial"/>
                <w:sz w:val="18"/>
                <w:lang w:val="pt-BR"/>
              </w:rPr>
              <w:t xml:space="preserve">TOTAL</w:t>
            </w:r>
          </w:p>
        </w:tc>
        <w:tc>
          <w:tcPr>
            <w:tcW w:w="3488" w:type="dxa"/>
          </w:tcPr>
          <w:p>
            <w:pPr>
              <w:spacing w:before="0" w:after="90" w:line="264" w:lineRule="auto"/>
              <w:jc w:val="left"/>
              <w:widowControl/>
              <w:keepLines/>
            </w:pPr>
            <w:r>
              <w:rPr>
                <w:rFonts w:ascii="Arial" w:hAnsi="Arial"/>
                <w:sz w:val="18"/>
                <w:lang w:val="pt-BR"/>
              </w:rPr>
              <w:t xml:space="preserve">Todos os itens contratados</w:t>
            </w:r>
          </w:p>
        </w:tc>
        <w:tc>
          <w:tcPr>
            <w:tcW w:w="821" w:type="dxa"/>
          </w:tcPr>
          <w:p>
            <w:pPr>
              <w:spacing w:before="0" w:after="90" w:line="264" w:lineRule="auto"/>
              <w:jc w:val="left"/>
              <w:widowControl/>
              <w:keepLines/>
            </w:pPr>
            <w:r>
              <w:rPr>
                <w:rFonts w:ascii="Arial" w:hAnsi="Arial"/>
                <w:sz w:val="18"/>
                <w:lang w:val="pt-BR"/>
              </w:rPr>
              <w:t xml:space="preserve">[TOTAL QTD]</w:t>
            </w:r>
          </w:p>
        </w:tc>
        <w:tc>
          <w:tcPr>
            <w:tcW w:w="718" w:type="dxa"/>
          </w:tcPr>
          <w:p>
            <w:pPr>
              <w:spacing w:before="0" w:after="90" w:line="264" w:lineRule="auto"/>
              <w:jc w:val="left"/>
              <w:widowControl/>
              <w:keepLines/>
            </w:pPr>
            <w:r>
              <w:rPr>
                <w:rFonts w:ascii="Arial" w:hAnsi="Arial"/>
                <w:sz w:val="18"/>
                <w:lang w:val="pt-BR"/>
              </w:rPr>
              <w:t xml:space="preserve">—</w:t>
            </w:r>
          </w:p>
        </w:tc>
        <w:tc>
          <w:tcPr>
            <w:tcW w:w="1539" w:type="dxa"/>
          </w:tcPr>
          <w:p>
            <w:pPr>
              <w:spacing w:before="0" w:after="90" w:line="264" w:lineRule="auto"/>
              <w:jc w:val="left"/>
              <w:widowControl/>
              <w:keepLines/>
            </w:pPr>
            <w:r>
              <w:rPr>
                <w:rFonts w:ascii="Arial" w:hAnsi="Arial"/>
                <w:sz w:val="18"/>
                <w:lang w:val="pt-BR"/>
              </w:rPr>
              <w:t xml:space="preserve">—</w:t>
            </w:r>
          </w:p>
        </w:tc>
        <w:tc>
          <w:tcPr>
            <w:tcW w:w="1642" w:type="dxa"/>
          </w:tcPr>
          <w:p>
            <w:pPr>
              <w:spacing w:before="0" w:after="90" w:line="264" w:lineRule="auto"/>
              <w:jc w:val="left"/>
              <w:widowControl/>
              <w:keepLines/>
            </w:pPr>
            <w:r>
              <w:rPr>
                <w:rFonts w:ascii="Arial" w:hAnsi="Arial"/>
                <w:sz w:val="18"/>
                <w:lang w:val="pt-BR"/>
              </w:rPr>
              <w:t xml:space="preserve">[VALOR MENSAL]</w:t>
            </w:r>
          </w:p>
        </w:tc>
        <w:tc>
          <w:tcPr>
            <w:tcW w:w="1642" w:type="dxa"/>
          </w:tcPr>
          <w:p>
            <w:pPr>
              <w:spacing w:before="0" w:after="90" w:line="264" w:lineRule="auto"/>
              <w:jc w:val="left"/>
              <w:widowControl/>
              <w:keepLines/>
            </w:pPr>
            <w:r>
              <w:rPr>
                <w:rFonts w:ascii="Arial" w:hAnsi="Arial"/>
                <w:sz w:val="18"/>
                <w:lang w:val="pt-BR"/>
              </w:rPr>
              <w:t xml:space="preserve">[VALOR GLOBAL]</w:t>
            </w:r>
          </w:p>
        </w:tc>
      </w:tr>
    </w:tbl>
    <w:p>
      <w:pPr>
        <w:spacing w:before="0" w:after="90" w:line="264" w:lineRule="auto"/>
        <w:jc w:val="both"/>
        <w:widowControl/>
        <w:keepLines/>
      </w:pPr>
      <w:r>
        <w:rPr>
          <w:rFonts w:ascii="Arial" w:hAnsi="Arial"/>
          <w:sz w:val="21"/>
          <w:lang w:val="pt-BR"/>
        </w:rPr>
        <w:t xml:space="preserve"/>
      </w:r>
    </w:p>
    <w:p>
      <w:pPr>
        <w:spacing w:before="0" w:after="90" w:line="264" w:lineRule="auto"/>
        <w:jc w:val="both"/>
        <w:widowControl/>
        <w:keepLines/>
      </w:pPr>
      <w:r>
        <w:rPr>
          <w:rFonts w:ascii="Arial" w:hAnsi="Arial"/>
          <w:sz w:val="21"/>
          <w:lang w:val="pt-BR"/>
        </w:rPr>
        <w:t xml:space="preserve">Condições técnicas a completar: uso urbano/rural e localidade [PREENCHER]; capacidade e acessibilidade [PREENCHER]; documentação e equipamentos [PREENCHER]; idade/quilometragem máxima de admissão e critério de renovação da frota [PREENCHER COM JUSTIFICATIVA]; higienização ordinária [DEFINIR RESPONSÁVEL, FREQUÊNCIA E INCLUSÃO NO PREÇO]; local de entrega [PREENCHER]; ordem inicial [IDENTIFICAR].</w:t>
      </w:r>
    </w:p>
    <w:p>
      <w:pPr>
        <w:spacing w:before="0" w:after="90" w:line="264" w:lineRule="auto"/>
        <w:jc w:val="both"/>
        <w:widowControl/>
        <w:keepLines/>
      </w:pPr>
      <w:r>
        <w:rPr>
          <w:rFonts w:ascii="Arial" w:hAnsi="Arial"/>
          <w:sz w:val="21"/>
          <w:lang w:val="pt-BR"/>
        </w:rPr>
        <w:t xml:space="preserve">Seguro: cobertura de casco [CRITÉRIO DE INDENIZAÇÃO]; danos materiais a terceiros R$ [LIMITE]; danos corporais a terceiros R$ [LIMITE]; demais coberturas justificadas [ESPECIFICAR]; abrangência territorial [PREENCHER]; assistência/guincho [CONDIÇÕES]. Confirmar que a apólice admite uso público institucional e o regime de condutores autorizados. Os limites devem ser dimensionados no estudo de riscos e refletidos no orçamento, sem campos em branco na versão final.</w:t>
      </w:r>
    </w:p>
    <w:p>
      <w:pPr>
        <w:spacing w:before="0" w:after="90" w:line="264" w:lineRule="auto"/>
        <w:jc w:val="both"/>
        <w:widowControl/>
        <w:keepLines/>
      </w:pPr>
      <w:r>
        <w:rPr>
          <w:rFonts w:ascii="Arial" w:hAnsi="Arial"/>
          <w:sz w:val="21"/>
          <w:lang w:val="pt-BR"/>
        </w:rPr>
        <w:t xml:space="preserve">Parâmetros adotados nesta minuta: sem motorista; combustível do LOCATÁRIO; quilometragem livre; manutenção, seguro e substituição da LOCADORA; entrega em 5 dias úteis; substituição em 24 horas corridas; vigência inicial de 12 meses; reajuste anual por IPCA com data-base do orçamento. A aprovação desses parâmetros deve preceder o edital e a proposta, com ajuste uniforme dos documentos quando necessário.</w:t>
      </w:r>
    </w:p>
    <w:p>
      <w:pPr>
        <w:spacing w:before="160" w:after="90" w:line="264" w:lineRule="auto"/>
        <w:jc w:val="left"/>
        <w:widowControl/>
        <w:keepLines/>
        <w:keepNext/>
        <w:pageBreakBefore/>
      </w:pPr>
      <w:r>
        <w:rPr>
          <w:rFonts w:ascii="Arial" w:hAnsi="Arial"/>
          <w:sz w:val="21"/>
          <w:lang w:val="pt-BR"/>
          <w:b/>
        </w:rPr>
        <w:t xml:space="preserve">ANEXO II — VISTORIA, DISPONIBILIDADE E DEVOLUÇÃO</w:t>
      </w:r>
    </w:p>
    <w:tbl>
      <w:tblPr>
        <w:tblW w:w="10260" w:type="dxa"/>
        <w:tblLayout w:type="fixed"/>
        <w:tblBorders>
          <w:top w:val="single" w:sz="4" w:color="64748B"/>
          <w:left w:val="single" w:sz="4" w:color="64748B"/>
          <w:bottom w:val="single" w:sz="4" w:color="64748B"/>
          <w:right w:val="single" w:sz="4" w:color="64748B"/>
          <w:insideH w:val="single" w:sz="4" w:color="64748B"/>
          <w:insideV w:val="single" w:sz="4" w:color="64748B"/>
        </w:tblBorders>
      </w:tblPr>
      <w:tblGrid>
        <w:gridCol w:w="3078"/>
        <w:gridCol w:w="7182"/>
      </w:tblGrid>
      <w:tr>
        <w:trPr>
          <w:cantSplit/>
          <w:tblHeader/>
        </w:trPr>
        <w:tc>
          <w:tcPr>
            <w:tcW w:w="3078" w:type="dxa"/>
            <w:shd w:fill="E9EFF7"/>
          </w:tcPr>
          <w:p>
            <w:pPr>
              <w:spacing w:before="0" w:after="90" w:line="264" w:lineRule="auto"/>
              <w:jc w:val="left"/>
              <w:widowControl/>
              <w:keepLines/>
              <w:keepNext/>
            </w:pPr>
            <w:r>
              <w:rPr>
                <w:rFonts w:ascii="Arial" w:hAnsi="Arial"/>
                <w:sz w:val="18"/>
                <w:lang w:val="pt-BR"/>
                <w:b/>
              </w:rPr>
              <w:t xml:space="preserve">Registro</w:t>
            </w:r>
          </w:p>
        </w:tc>
        <w:tc>
          <w:tcPr>
            <w:tcW w:w="7182" w:type="dxa"/>
            <w:shd w:fill="E9EFF7"/>
          </w:tcPr>
          <w:p>
            <w:pPr>
              <w:spacing w:before="0" w:after="90" w:line="264" w:lineRule="auto"/>
              <w:jc w:val="left"/>
              <w:widowControl/>
              <w:keepLines/>
              <w:keepNext/>
            </w:pPr>
            <w:r>
              <w:rPr>
                <w:rFonts w:ascii="Arial" w:hAnsi="Arial"/>
                <w:sz w:val="18"/>
                <w:lang w:val="pt-BR"/>
                <w:b/>
              </w:rPr>
              <w:t xml:space="preserve">Informação a preencher</w:t>
            </w:r>
          </w:p>
        </w:tc>
      </w:tr>
      <w:tr>
        <w:trPr>
          <w:cantSplit/>
        </w:trPr>
        <w:tc>
          <w:tcPr>
            <w:tcW w:w="3078" w:type="dxa"/>
          </w:tcPr>
          <w:p>
            <w:pPr>
              <w:spacing w:before="0" w:after="90" w:line="264" w:lineRule="auto"/>
              <w:jc w:val="left"/>
              <w:widowControl/>
              <w:keepLines/>
            </w:pPr>
            <w:r>
              <w:rPr>
                <w:rFonts w:ascii="Arial" w:hAnsi="Arial"/>
                <w:sz w:val="18"/>
                <w:lang w:val="pt-BR"/>
              </w:rPr>
              <w:t xml:space="preserve">Contrato / item / unidade beneficiária</w:t>
            </w:r>
          </w:p>
        </w:tc>
        <w:tc>
          <w:tcPr>
            <w:tcW w:w="7182" w:type="dxa"/>
          </w:tcPr>
          <w:p>
            <w:pPr>
              <w:spacing w:before="0" w:after="90" w:line="264" w:lineRule="auto"/>
              <w:jc w:val="left"/>
              <w:widowControl/>
              <w:keepLines/>
            </w:pPr>
            <w:r>
              <w:rPr>
                <w:rFonts w:ascii="Arial" w:hAnsi="Arial"/>
                <w:sz w:val="18"/>
                <w:lang w:val="pt-BR"/>
              </w:rPr>
              <w:t xml:space="preserve">[NÚMERO / ITEM / UNIDADE]</w:t>
            </w:r>
          </w:p>
        </w:tc>
      </w:tr>
      <w:tr>
        <w:trPr>
          <w:cantSplit/>
        </w:trPr>
        <w:tc>
          <w:tcPr>
            <w:tcW w:w="3078" w:type="dxa"/>
          </w:tcPr>
          <w:p>
            <w:pPr>
              <w:spacing w:before="0" w:after="90" w:line="264" w:lineRule="auto"/>
              <w:jc w:val="left"/>
              <w:widowControl/>
              <w:keepLines/>
            </w:pPr>
            <w:r>
              <w:rPr>
                <w:rFonts w:ascii="Arial" w:hAnsi="Arial"/>
                <w:sz w:val="18"/>
                <w:lang w:val="pt-BR"/>
              </w:rPr>
              <w:t xml:space="preserve">Identificação do veículo</w:t>
            </w:r>
          </w:p>
        </w:tc>
        <w:tc>
          <w:tcPr>
            <w:tcW w:w="7182" w:type="dxa"/>
          </w:tcPr>
          <w:p>
            <w:pPr>
              <w:spacing w:before="0" w:after="90" w:line="264" w:lineRule="auto"/>
              <w:jc w:val="left"/>
              <w:widowControl/>
              <w:keepLines/>
            </w:pPr>
            <w:r>
              <w:rPr>
                <w:rFonts w:ascii="Arial" w:hAnsi="Arial"/>
                <w:sz w:val="18"/>
                <w:lang w:val="pt-BR"/>
              </w:rPr>
              <w:t xml:space="preserve">[PLACA / RENAVAM / CHASSI / MARCA / MODELO / ANO]</w:t>
            </w:r>
          </w:p>
        </w:tc>
      </w:tr>
      <w:tr>
        <w:trPr>
          <w:cantSplit/>
        </w:trPr>
        <w:tc>
          <w:tcPr>
            <w:tcW w:w="3078" w:type="dxa"/>
          </w:tcPr>
          <w:p>
            <w:pPr>
              <w:spacing w:before="0" w:after="90" w:line="264" w:lineRule="auto"/>
              <w:jc w:val="left"/>
              <w:widowControl/>
              <w:keepLines/>
            </w:pPr>
            <w:r>
              <w:rPr>
                <w:rFonts w:ascii="Arial" w:hAnsi="Arial"/>
                <w:sz w:val="18"/>
                <w:lang w:val="pt-BR"/>
              </w:rPr>
              <w:t xml:space="preserve">Data, hora e local</w:t>
            </w:r>
          </w:p>
        </w:tc>
        <w:tc>
          <w:tcPr>
            <w:tcW w:w="7182" w:type="dxa"/>
          </w:tcPr>
          <w:p>
            <w:pPr>
              <w:spacing w:before="0" w:after="90" w:line="264" w:lineRule="auto"/>
              <w:jc w:val="left"/>
              <w:widowControl/>
              <w:keepLines/>
            </w:pPr>
            <w:r>
              <w:rPr>
                <w:rFonts w:ascii="Arial" w:hAnsi="Arial"/>
                <w:sz w:val="18"/>
                <w:lang w:val="pt-BR"/>
              </w:rPr>
              <w:t xml:space="preserve">[ENTREGA / TROCA / DEVOLUÇÃO]</w:t>
            </w:r>
          </w:p>
        </w:tc>
      </w:tr>
      <w:tr>
        <w:trPr>
          <w:cantSplit/>
        </w:trPr>
        <w:tc>
          <w:tcPr>
            <w:tcW w:w="3078" w:type="dxa"/>
          </w:tcPr>
          <w:p>
            <w:pPr>
              <w:spacing w:before="0" w:after="90" w:line="264" w:lineRule="auto"/>
              <w:jc w:val="left"/>
              <w:widowControl/>
              <w:keepLines/>
            </w:pPr>
            <w:r>
              <w:rPr>
                <w:rFonts w:ascii="Arial" w:hAnsi="Arial"/>
                <w:sz w:val="18"/>
                <w:lang w:val="pt-BR"/>
              </w:rPr>
              <w:t xml:space="preserve">Hodômetro e combustível</w:t>
            </w:r>
          </w:p>
        </w:tc>
        <w:tc>
          <w:tcPr>
            <w:tcW w:w="7182" w:type="dxa"/>
          </w:tcPr>
          <w:p>
            <w:pPr>
              <w:spacing w:before="0" w:after="90" w:line="264" w:lineRule="auto"/>
              <w:jc w:val="left"/>
              <w:widowControl/>
              <w:keepLines/>
            </w:pPr>
            <w:r>
              <w:rPr>
                <w:rFonts w:ascii="Arial" w:hAnsi="Arial"/>
                <w:sz w:val="18"/>
                <w:lang w:val="pt-BR"/>
              </w:rPr>
              <w:t xml:space="preserve">[REGISTROS E CRITÉRIO DE CONFERÊNCIA]</w:t>
            </w:r>
          </w:p>
        </w:tc>
      </w:tr>
      <w:tr>
        <w:trPr>
          <w:cantSplit/>
        </w:trPr>
        <w:tc>
          <w:tcPr>
            <w:tcW w:w="3078" w:type="dxa"/>
          </w:tcPr>
          <w:p>
            <w:pPr>
              <w:spacing w:before="0" w:after="90" w:line="264" w:lineRule="auto"/>
              <w:jc w:val="left"/>
              <w:widowControl/>
              <w:keepLines/>
            </w:pPr>
            <w:r>
              <w:rPr>
                <w:rFonts w:ascii="Arial" w:hAnsi="Arial"/>
                <w:sz w:val="18"/>
                <w:lang w:val="pt-BR"/>
              </w:rPr>
              <w:t xml:space="preserve">Documentos e seguro</w:t>
            </w:r>
          </w:p>
        </w:tc>
        <w:tc>
          <w:tcPr>
            <w:tcW w:w="7182" w:type="dxa"/>
          </w:tcPr>
          <w:p>
            <w:pPr>
              <w:spacing w:before="0" w:after="90" w:line="264" w:lineRule="auto"/>
              <w:jc w:val="left"/>
              <w:widowControl/>
              <w:keepLines/>
            </w:pPr>
            <w:r>
              <w:rPr>
                <w:rFonts w:ascii="Arial" w:hAnsi="Arial"/>
                <w:sz w:val="18"/>
                <w:lang w:val="pt-BR"/>
              </w:rPr>
              <w:t xml:space="preserve">[CRLV / APÓLICE / VALIDADE / COBERTURAS]</w:t>
            </w:r>
          </w:p>
        </w:tc>
      </w:tr>
      <w:tr>
        <w:trPr>
          <w:cantSplit/>
        </w:trPr>
        <w:tc>
          <w:tcPr>
            <w:tcW w:w="3078" w:type="dxa"/>
          </w:tcPr>
          <w:p>
            <w:pPr>
              <w:spacing w:before="0" w:after="90" w:line="264" w:lineRule="auto"/>
              <w:jc w:val="left"/>
              <w:widowControl/>
              <w:keepLines/>
            </w:pPr>
            <w:r>
              <w:rPr>
                <w:rFonts w:ascii="Arial" w:hAnsi="Arial"/>
                <w:sz w:val="18"/>
                <w:lang w:val="pt-BR"/>
              </w:rPr>
              <w:t xml:space="preserve">Condições e acessórios</w:t>
            </w:r>
          </w:p>
        </w:tc>
        <w:tc>
          <w:tcPr>
            <w:tcW w:w="7182" w:type="dxa"/>
          </w:tcPr>
          <w:p>
            <w:pPr>
              <w:spacing w:before="0" w:after="90" w:line="264" w:lineRule="auto"/>
              <w:jc w:val="left"/>
              <w:widowControl/>
              <w:keepLines/>
            </w:pPr>
            <w:r>
              <w:rPr>
                <w:rFonts w:ascii="Arial" w:hAnsi="Arial"/>
                <w:sz w:val="18"/>
                <w:lang w:val="pt-BR"/>
              </w:rPr>
              <w:t xml:space="preserve">[PNEUS / ESTEPE / ITENS OBRIGATÓRIOS / CHAVES / AVARIAS]</w:t>
            </w:r>
          </w:p>
        </w:tc>
      </w:tr>
      <w:tr>
        <w:trPr>
          <w:cantSplit/>
        </w:trPr>
        <w:tc>
          <w:tcPr>
            <w:tcW w:w="3078" w:type="dxa"/>
          </w:tcPr>
          <w:p>
            <w:pPr>
              <w:spacing w:before="0" w:after="90" w:line="264" w:lineRule="auto"/>
              <w:jc w:val="left"/>
              <w:widowControl/>
              <w:keepLines/>
            </w:pPr>
            <w:r>
              <w:rPr>
                <w:rFonts w:ascii="Arial" w:hAnsi="Arial"/>
                <w:sz w:val="18"/>
                <w:lang w:val="pt-BR"/>
              </w:rPr>
              <w:t xml:space="preserve">Evidências e ressalvas</w:t>
            </w:r>
          </w:p>
        </w:tc>
        <w:tc>
          <w:tcPr>
            <w:tcW w:w="7182" w:type="dxa"/>
          </w:tcPr>
          <w:p>
            <w:pPr>
              <w:spacing w:before="0" w:after="90" w:line="264" w:lineRule="auto"/>
              <w:jc w:val="left"/>
              <w:widowControl/>
              <w:keepLines/>
            </w:pPr>
            <w:r>
              <w:rPr>
                <w:rFonts w:ascii="Arial" w:hAnsi="Arial"/>
                <w:sz w:val="18"/>
                <w:lang w:val="pt-BR"/>
              </w:rPr>
              <w:t xml:space="preserve">[FOTOS / OCORRÊNCIAS / PROVIDÊNCIAS / PRAZOS]</w:t>
            </w:r>
          </w:p>
        </w:tc>
      </w:tr>
      <w:tr>
        <w:trPr>
          <w:cantSplit/>
        </w:trPr>
        <w:tc>
          <w:tcPr>
            <w:tcW w:w="3078" w:type="dxa"/>
          </w:tcPr>
          <w:p>
            <w:pPr>
              <w:spacing w:before="0" w:after="90" w:line="264" w:lineRule="auto"/>
              <w:jc w:val="left"/>
              <w:widowControl/>
              <w:keepLines/>
            </w:pPr>
            <w:r>
              <w:rPr>
                <w:rFonts w:ascii="Arial" w:hAnsi="Arial"/>
                <w:sz w:val="18"/>
                <w:lang w:val="pt-BR"/>
              </w:rPr>
              <w:t xml:space="preserve">Disponibilidade mensal</w:t>
            </w:r>
          </w:p>
        </w:tc>
        <w:tc>
          <w:tcPr>
            <w:tcW w:w="7182" w:type="dxa"/>
          </w:tcPr>
          <w:p>
            <w:pPr>
              <w:spacing w:before="0" w:after="90" w:line="264" w:lineRule="auto"/>
              <w:jc w:val="left"/>
              <w:widowControl/>
              <w:keepLines/>
            </w:pPr>
            <w:r>
              <w:rPr>
                <w:rFonts w:ascii="Arial" w:hAnsi="Arial"/>
                <w:sz w:val="18"/>
                <w:lang w:val="pt-BR"/>
              </w:rPr>
              <w:t xml:space="preserve">[PERÍODOS ACEITOS / INDISPONIBILIDADE / SUBSTITUTOS / GLOSAS]</w:t>
            </w:r>
          </w:p>
        </w:tc>
      </w:tr>
      <w:tr>
        <w:trPr>
          <w:cantSplit/>
        </w:trPr>
        <w:tc>
          <w:tcPr>
            <w:tcW w:w="3078" w:type="dxa"/>
          </w:tcPr>
          <w:p>
            <w:pPr>
              <w:spacing w:before="0" w:after="90" w:line="264" w:lineRule="auto"/>
              <w:jc w:val="left"/>
              <w:widowControl/>
              <w:keepLines/>
            </w:pPr>
            <w:r>
              <w:rPr>
                <w:rFonts w:ascii="Arial" w:hAnsi="Arial"/>
                <w:sz w:val="18"/>
                <w:lang w:val="pt-BR"/>
              </w:rPr>
              <w:t xml:space="preserve">Responsáveis</w:t>
            </w:r>
          </w:p>
        </w:tc>
        <w:tc>
          <w:tcPr>
            <w:tcW w:w="7182" w:type="dxa"/>
          </w:tcPr>
          <w:p>
            <w:pPr>
              <w:spacing w:before="0" w:after="90" w:line="264" w:lineRule="auto"/>
              <w:jc w:val="left"/>
              <w:widowControl/>
              <w:keepLines/>
            </w:pPr>
            <w:r>
              <w:rPr>
                <w:rFonts w:ascii="Arial" w:hAnsi="Arial"/>
                <w:sz w:val="18"/>
                <w:lang w:val="pt-BR"/>
              </w:rPr>
              <w:t xml:space="preserve">[REPRESENTANTES DA LOCADORA E DA FISCALIZAÇÃO / ASSINATURAS]</w:t>
            </w:r>
          </w:p>
        </w:tc>
      </w:tr>
    </w:tbl>
    <w:p>
      <w:pPr>
        <w:spacing w:before="0" w:after="90" w:line="264" w:lineRule="auto"/>
        <w:jc w:val="both"/>
        <w:widowControl/>
        <w:keepLines/>
      </w:pPr>
      <w:r>
        <w:rPr>
          <w:rFonts w:ascii="Arial" w:hAnsi="Arial"/>
          <w:sz w:val="21"/>
          <w:lang w:val="pt-BR"/>
        </w:rPr>
        <w:t xml:space="preserve"/>
      </w:r>
    </w:p>
    <w:p>
      <w:pPr>
        <w:spacing w:before="0" w:after="90" w:line="264" w:lineRule="auto"/>
        <w:jc w:val="both"/>
        <w:widowControl/>
        <w:keepLines/>
      </w:pPr>
      <w:r>
        <w:rPr>
          <w:rFonts w:ascii="Arial" w:hAnsi="Arial"/>
          <w:sz w:val="21"/>
          <w:lang w:val="pt-BR"/>
        </w:rPr>
        <w:t xml:space="preserve">O registro mensal deverá permitir reconstruir a medição de cada veículo e a cronologia das substituições. Os termos de entrada e saída serão comparados para distinguir avarias novas, vícios e desgaste normal, sem presunção de culpa ou cobrança por orçamento unilateral.</w:t>
      </w:r>
    </w:p>
    <w:p>
      <w:pPr>
        <w:spacing w:before="160" w:after="90" w:line="264" w:lineRule="auto"/>
        <w:jc w:val="left"/>
        <w:widowControl/>
        <w:keepLines/>
        <w:keepNext/>
        <w:pageBreakBefore/>
      </w:pPr>
      <w:r>
        <w:rPr>
          <w:rFonts w:ascii="Arial" w:hAnsi="Arial"/>
          <w:sz w:val="21"/>
          <w:lang w:val="pt-BR"/>
          <w:b/>
        </w:rPr>
        <w:t xml:space="preserve">ANEXO III — MATRIZ DE ALOCAÇÃO DE RISCOS</w:t>
      </w:r>
    </w:p>
    <w:tbl>
      <w:tblPr>
        <w:tblW w:w="10260" w:type="dxa"/>
        <w:tblLayout w:type="fixed"/>
        <w:tblBorders>
          <w:top w:val="single" w:sz="4" w:color="64748B"/>
          <w:left w:val="single" w:sz="4" w:color="64748B"/>
          <w:bottom w:val="single" w:sz="4" w:color="64748B"/>
          <w:right w:val="single" w:sz="4" w:color="64748B"/>
          <w:insideH w:val="single" w:sz="4" w:color="64748B"/>
          <w:insideV w:val="single" w:sz="4" w:color="64748B"/>
        </w:tblBorders>
      </w:tblPr>
      <w:tblGrid>
        <w:gridCol w:w="3078"/>
        <w:gridCol w:w="7182"/>
      </w:tblGrid>
      <w:tr>
        <w:trPr>
          <w:cantSplit/>
          <w:tblHeader/>
        </w:trPr>
        <w:tc>
          <w:tcPr>
            <w:tcW w:w="3078" w:type="dxa"/>
            <w:shd w:fill="E9EFF7"/>
          </w:tcPr>
          <w:p>
            <w:pPr>
              <w:spacing w:before="0" w:after="90" w:line="264" w:lineRule="auto"/>
              <w:jc w:val="left"/>
              <w:widowControl/>
              <w:keepLines/>
              <w:keepNext/>
            </w:pPr>
            <w:r>
              <w:rPr>
                <w:rFonts w:ascii="Arial" w:hAnsi="Arial"/>
                <w:sz w:val="18"/>
                <w:lang w:val="pt-BR"/>
                <w:b/>
              </w:rPr>
              <w:t xml:space="preserve">Evento</w:t>
            </w:r>
          </w:p>
        </w:tc>
        <w:tc>
          <w:tcPr>
            <w:tcW w:w="7182" w:type="dxa"/>
            <w:shd w:fill="E9EFF7"/>
          </w:tcPr>
          <w:p>
            <w:pPr>
              <w:spacing w:before="0" w:after="90" w:line="264" w:lineRule="auto"/>
              <w:jc w:val="left"/>
              <w:widowControl/>
              <w:keepLines/>
              <w:keepNext/>
            </w:pPr>
            <w:r>
              <w:rPr>
                <w:rFonts w:ascii="Arial" w:hAnsi="Arial"/>
                <w:sz w:val="18"/>
                <w:lang w:val="pt-BR"/>
                <w:b/>
              </w:rPr>
              <w:t xml:space="preserve">Responsável e tratamento</w:t>
            </w:r>
          </w:p>
        </w:tc>
      </w:tr>
      <w:tr>
        <w:trPr>
          <w:cantSplit/>
        </w:trPr>
        <w:tc>
          <w:tcPr>
            <w:tcW w:w="3078" w:type="dxa"/>
          </w:tcPr>
          <w:p>
            <w:pPr>
              <w:spacing w:before="0" w:after="90" w:line="264" w:lineRule="auto"/>
              <w:jc w:val="left"/>
              <w:widowControl/>
              <w:keepLines/>
            </w:pPr>
            <w:r>
              <w:rPr>
                <w:rFonts w:ascii="Arial" w:hAnsi="Arial"/>
                <w:sz w:val="18"/>
                <w:lang w:val="pt-BR"/>
              </w:rPr>
              <w:t xml:space="preserve">Desgaste regular, falha mecânica, pneus e revisão</w:t>
            </w:r>
          </w:p>
        </w:tc>
        <w:tc>
          <w:tcPr>
            <w:tcW w:w="7182" w:type="dxa"/>
          </w:tcPr>
          <w:p>
            <w:pPr>
              <w:spacing w:before="0" w:after="90" w:line="264" w:lineRule="auto"/>
              <w:jc w:val="left"/>
              <w:widowControl/>
              <w:keepLines/>
            </w:pPr>
            <w:r>
              <w:rPr>
                <w:rFonts w:ascii="Arial" w:hAnsi="Arial"/>
                <w:sz w:val="18"/>
                <w:lang w:val="pt-BR"/>
              </w:rPr>
              <w:t xml:space="preserve">LOCADORA: prevenir, reparar e substituir; sem adicional ou pagamento por indisponibilidade.</w:t>
            </w:r>
          </w:p>
        </w:tc>
      </w:tr>
      <w:tr>
        <w:trPr>
          <w:cantSplit/>
        </w:trPr>
        <w:tc>
          <w:tcPr>
            <w:tcW w:w="3078" w:type="dxa"/>
          </w:tcPr>
          <w:p>
            <w:pPr>
              <w:spacing w:before="0" w:after="90" w:line="264" w:lineRule="auto"/>
              <w:jc w:val="left"/>
              <w:widowControl/>
              <w:keepLines/>
            </w:pPr>
            <w:r>
              <w:rPr>
                <w:rFonts w:ascii="Arial" w:hAnsi="Arial"/>
                <w:sz w:val="18"/>
                <w:lang w:val="pt-BR"/>
              </w:rPr>
              <w:t xml:space="preserve">Licenciamento, propriedade e adequação documental</w:t>
            </w:r>
          </w:p>
        </w:tc>
        <w:tc>
          <w:tcPr>
            <w:tcW w:w="7182" w:type="dxa"/>
          </w:tcPr>
          <w:p>
            <w:pPr>
              <w:spacing w:before="0" w:after="90" w:line="264" w:lineRule="auto"/>
              <w:jc w:val="left"/>
              <w:widowControl/>
              <w:keepLines/>
            </w:pPr>
            <w:r>
              <w:rPr>
                <w:rFonts w:ascii="Arial" w:hAnsi="Arial"/>
                <w:sz w:val="18"/>
                <w:lang w:val="pt-BR"/>
              </w:rPr>
              <w:t xml:space="preserve">LOCADORA: manter regularidade e substituir veículo impedido.</w:t>
            </w:r>
          </w:p>
        </w:tc>
      </w:tr>
      <w:tr>
        <w:trPr>
          <w:cantSplit/>
        </w:trPr>
        <w:tc>
          <w:tcPr>
            <w:tcW w:w="3078" w:type="dxa"/>
          </w:tcPr>
          <w:p>
            <w:pPr>
              <w:spacing w:before="0" w:after="90" w:line="264" w:lineRule="auto"/>
              <w:jc w:val="left"/>
              <w:widowControl/>
              <w:keepLines/>
            </w:pPr>
            <w:r>
              <w:rPr>
                <w:rFonts w:ascii="Arial" w:hAnsi="Arial"/>
                <w:sz w:val="18"/>
                <w:lang w:val="pt-BR"/>
              </w:rPr>
              <w:t xml:space="preserve">Variação ordinária dos custos da locação</w:t>
            </w:r>
          </w:p>
        </w:tc>
        <w:tc>
          <w:tcPr>
            <w:tcW w:w="7182" w:type="dxa"/>
          </w:tcPr>
          <w:p>
            <w:pPr>
              <w:spacing w:before="0" w:after="90" w:line="264" w:lineRule="auto"/>
              <w:jc w:val="left"/>
              <w:widowControl/>
              <w:keepLines/>
            </w:pPr>
            <w:r>
              <w:rPr>
                <w:rFonts w:ascii="Arial" w:hAnsi="Arial"/>
                <w:sz w:val="18"/>
                <w:lang w:val="pt-BR"/>
              </w:rPr>
              <w:t xml:space="preserve">LOCADORA: risco empresarial, respeitado o reajuste anual previsto.</w:t>
            </w:r>
          </w:p>
        </w:tc>
      </w:tr>
      <w:tr>
        <w:trPr>
          <w:cantSplit/>
        </w:trPr>
        <w:tc>
          <w:tcPr>
            <w:tcW w:w="3078" w:type="dxa"/>
          </w:tcPr>
          <w:p>
            <w:pPr>
              <w:spacing w:before="0" w:after="90" w:line="264" w:lineRule="auto"/>
              <w:jc w:val="left"/>
              <w:widowControl/>
              <w:keepLines/>
            </w:pPr>
            <w:r>
              <w:rPr>
                <w:rFonts w:ascii="Arial" w:hAnsi="Arial"/>
                <w:sz w:val="18"/>
                <w:lang w:val="pt-BR"/>
              </w:rPr>
              <w:t xml:space="preserve">Combustível, condutores e despesas de missão autorizada</w:t>
            </w:r>
          </w:p>
        </w:tc>
        <w:tc>
          <w:tcPr>
            <w:tcW w:w="7182" w:type="dxa"/>
          </w:tcPr>
          <w:p>
            <w:pPr>
              <w:spacing w:before="0" w:after="90" w:line="264" w:lineRule="auto"/>
              <w:jc w:val="left"/>
              <w:widowControl/>
              <w:keepLines/>
            </w:pPr>
            <w:r>
              <w:rPr>
                <w:rFonts w:ascii="Arial" w:hAnsi="Arial"/>
                <w:sz w:val="18"/>
                <w:lang w:val="pt-BR"/>
              </w:rPr>
              <w:t xml:space="preserve">LOCATÁRIO: planejar, fornecer e controlar pelos meios próprios.</w:t>
            </w:r>
          </w:p>
        </w:tc>
      </w:tr>
      <w:tr>
        <w:trPr>
          <w:cantSplit/>
        </w:trPr>
        <w:tc>
          <w:tcPr>
            <w:tcW w:w="3078" w:type="dxa"/>
          </w:tcPr>
          <w:p>
            <w:pPr>
              <w:spacing w:before="0" w:after="90" w:line="264" w:lineRule="auto"/>
              <w:jc w:val="left"/>
              <w:widowControl/>
              <w:keepLines/>
            </w:pPr>
            <w:r>
              <w:rPr>
                <w:rFonts w:ascii="Arial" w:hAnsi="Arial"/>
                <w:sz w:val="18"/>
                <w:lang w:val="pt-BR"/>
              </w:rPr>
              <w:t xml:space="preserve">Roubo, furto, colisão e outros riscos seguráveis previstos</w:t>
            </w:r>
          </w:p>
        </w:tc>
        <w:tc>
          <w:tcPr>
            <w:tcW w:w="7182" w:type="dxa"/>
          </w:tcPr>
          <w:p>
            <w:pPr>
              <w:spacing w:before="0" w:after="90" w:line="264" w:lineRule="auto"/>
              <w:jc w:val="left"/>
              <w:widowControl/>
              <w:keepLines/>
            </w:pPr>
            <w:r>
              <w:rPr>
                <w:rFonts w:ascii="Arial" w:hAnsi="Arial"/>
                <w:sz w:val="18"/>
                <w:lang w:val="pt-BR"/>
              </w:rPr>
              <w:t xml:space="preserve">LOCADORA: seguro e franquia; eventual ressarcimento por conduta imputável ao LOCATÁRIO depende de apuração, nexo e desconto de indenizações.</w:t>
            </w:r>
          </w:p>
        </w:tc>
      </w:tr>
      <w:tr>
        <w:trPr>
          <w:cantSplit/>
        </w:trPr>
        <w:tc>
          <w:tcPr>
            <w:tcW w:w="3078" w:type="dxa"/>
          </w:tcPr>
          <w:p>
            <w:pPr>
              <w:spacing w:before="0" w:after="90" w:line="264" w:lineRule="auto"/>
              <w:jc w:val="left"/>
              <w:widowControl/>
              <w:keepLines/>
            </w:pPr>
            <w:r>
              <w:rPr>
                <w:rFonts w:ascii="Arial" w:hAnsi="Arial"/>
                <w:sz w:val="18"/>
                <w:lang w:val="pt-BR"/>
              </w:rPr>
              <w:t xml:space="preserve">Infração ligada à conservação ou documentação do veículo</w:t>
            </w:r>
          </w:p>
        </w:tc>
        <w:tc>
          <w:tcPr>
            <w:tcW w:w="7182" w:type="dxa"/>
          </w:tcPr>
          <w:p>
            <w:pPr>
              <w:spacing w:before="0" w:after="90" w:line="264" w:lineRule="auto"/>
              <w:jc w:val="left"/>
              <w:widowControl/>
              <w:keepLines/>
            </w:pPr>
            <w:r>
              <w:rPr>
                <w:rFonts w:ascii="Arial" w:hAnsi="Arial"/>
                <w:sz w:val="18"/>
                <w:lang w:val="pt-BR"/>
              </w:rPr>
              <w:t xml:space="preserve">LOCADORA: regularização e consequências imputáveis à sua conduta.</w:t>
            </w:r>
          </w:p>
        </w:tc>
      </w:tr>
      <w:tr>
        <w:trPr>
          <w:cantSplit/>
        </w:trPr>
        <w:tc>
          <w:tcPr>
            <w:tcW w:w="3078" w:type="dxa"/>
          </w:tcPr>
          <w:p>
            <w:pPr>
              <w:spacing w:before="0" w:after="90" w:line="264" w:lineRule="auto"/>
              <w:jc w:val="left"/>
              <w:widowControl/>
              <w:keepLines/>
            </w:pPr>
            <w:r>
              <w:rPr>
                <w:rFonts w:ascii="Arial" w:hAnsi="Arial"/>
                <w:sz w:val="18"/>
                <w:lang w:val="pt-BR"/>
              </w:rPr>
              <w:t xml:space="preserve">Infração de condução</w:t>
            </w:r>
          </w:p>
        </w:tc>
        <w:tc>
          <w:tcPr>
            <w:tcW w:w="7182" w:type="dxa"/>
          </w:tcPr>
          <w:p>
            <w:pPr>
              <w:spacing w:before="0" w:after="90" w:line="264" w:lineRule="auto"/>
              <w:jc w:val="left"/>
              <w:widowControl/>
              <w:keepLines/>
            </w:pPr>
            <w:r>
              <w:rPr>
                <w:rFonts w:ascii="Arial" w:hAnsi="Arial"/>
                <w:sz w:val="18"/>
                <w:lang w:val="pt-BR"/>
              </w:rPr>
              <w:t xml:space="preserve">Apuração do condutor e do responsável legal; LOCADORA encaminha a notificação tempestivamente e responde por sua própria omissão.</w:t>
            </w:r>
          </w:p>
        </w:tc>
      </w:tr>
      <w:tr>
        <w:trPr>
          <w:cantSplit/>
        </w:trPr>
        <w:tc>
          <w:tcPr>
            <w:tcW w:w="3078" w:type="dxa"/>
          </w:tcPr>
          <w:p>
            <w:pPr>
              <w:spacing w:before="0" w:after="90" w:line="264" w:lineRule="auto"/>
              <w:jc w:val="left"/>
              <w:widowControl/>
              <w:keepLines/>
            </w:pPr>
            <w:r>
              <w:rPr>
                <w:rFonts w:ascii="Arial" w:hAnsi="Arial"/>
                <w:sz w:val="18"/>
                <w:lang w:val="pt-BR"/>
              </w:rPr>
              <w:t xml:space="preserve">Indisponibilidade e atraso de substituição</w:t>
            </w:r>
          </w:p>
        </w:tc>
        <w:tc>
          <w:tcPr>
            <w:tcW w:w="7182" w:type="dxa"/>
          </w:tcPr>
          <w:p>
            <w:pPr>
              <w:spacing w:before="0" w:after="90" w:line="264" w:lineRule="auto"/>
              <w:jc w:val="left"/>
              <w:widowControl/>
              <w:keepLines/>
            </w:pPr>
            <w:r>
              <w:rPr>
                <w:rFonts w:ascii="Arial" w:hAnsi="Arial"/>
                <w:sz w:val="18"/>
                <w:lang w:val="pt-BR"/>
              </w:rPr>
              <w:t xml:space="preserve">LOCADORA: substituição, glosa e eventual sanção; fiscalização documenta e evita pagamento duplicado.</w:t>
            </w:r>
          </w:p>
        </w:tc>
      </w:tr>
      <w:tr>
        <w:trPr>
          <w:cantSplit/>
        </w:trPr>
        <w:tc>
          <w:tcPr>
            <w:tcW w:w="3078" w:type="dxa"/>
          </w:tcPr>
          <w:p>
            <w:pPr>
              <w:spacing w:before="0" w:after="90" w:line="264" w:lineRule="auto"/>
              <w:jc w:val="left"/>
              <w:widowControl/>
              <w:keepLines/>
            </w:pPr>
            <w:r>
              <w:rPr>
                <w:rFonts w:ascii="Arial" w:hAnsi="Arial"/>
                <w:sz w:val="18"/>
                <w:lang w:val="pt-BR"/>
              </w:rPr>
              <w:t xml:space="preserve">Alteração unilateral e evento extraordinário não alocado</w:t>
            </w:r>
          </w:p>
        </w:tc>
        <w:tc>
          <w:tcPr>
            <w:tcW w:w="7182" w:type="dxa"/>
          </w:tcPr>
          <w:p>
            <w:pPr>
              <w:spacing w:before="0" w:after="90" w:line="264" w:lineRule="auto"/>
              <w:jc w:val="left"/>
              <w:widowControl/>
              <w:keepLines/>
            </w:pPr>
            <w:r>
              <w:rPr>
                <w:rFonts w:ascii="Arial" w:hAnsi="Arial"/>
                <w:sz w:val="18"/>
                <w:lang w:val="pt-BR"/>
              </w:rPr>
              <w:t xml:space="preserve">Administração instrui o processo e decide sobre recomposição segundo a lei, com prova do impacto; não há reajuste ou indenização automática.</w:t>
            </w:r>
          </w:p>
        </w:tc>
      </w:tr>
      <w:tr>
        <w:trPr>
          <w:cantSplit/>
        </w:trPr>
        <w:tc>
          <w:tcPr>
            <w:tcW w:w="3078" w:type="dxa"/>
          </w:tcPr>
          <w:p>
            <w:pPr>
              <w:spacing w:before="0" w:after="90" w:line="264" w:lineRule="auto"/>
              <w:jc w:val="left"/>
              <w:widowControl/>
              <w:keepLines/>
            </w:pPr>
            <w:r>
              <w:rPr>
                <w:rFonts w:ascii="Arial" w:hAnsi="Arial"/>
                <w:sz w:val="18"/>
                <w:lang w:val="pt-BR"/>
              </w:rPr>
              <w:t xml:space="preserve">Dano causado a terceiro</w:t>
            </w:r>
          </w:p>
        </w:tc>
        <w:tc>
          <w:tcPr>
            <w:tcW w:w="7182" w:type="dxa"/>
          </w:tcPr>
          <w:p>
            <w:pPr>
              <w:spacing w:before="0" w:after="90" w:line="264" w:lineRule="auto"/>
              <w:jc w:val="left"/>
              <w:widowControl/>
              <w:keepLines/>
            </w:pPr>
            <w:r>
              <w:rPr>
                <w:rFonts w:ascii="Arial" w:hAnsi="Arial"/>
                <w:sz w:val="18"/>
                <w:lang w:val="pt-BR"/>
              </w:rPr>
              <w:t xml:space="preserve">Responsabilidade conforme legislação e conduta, sem afastar proteção da vítima, cobertura securitária e apuração regressiva.</w:t>
            </w:r>
          </w:p>
        </w:tc>
      </w:tr>
    </w:tbl>
    <w:p>
      <w:pPr>
        <w:spacing w:before="0" w:after="90" w:line="264" w:lineRule="auto"/>
        <w:jc w:val="both"/>
        <w:widowControl/>
        <w:keepLines/>
      </w:pPr>
      <w:r>
        <w:rPr>
          <w:rFonts w:ascii="Arial" w:hAnsi="Arial"/>
          <w:sz w:val="21"/>
          <w:lang w:val="pt-BR"/>
        </w:rPr>
        <w:t xml:space="preserve"/>
      </w:r>
    </w:p>
    <w:p>
      <w:pPr>
        <w:spacing w:before="0" w:after="90" w:line="264" w:lineRule="auto"/>
        <w:jc w:val="both"/>
        <w:widowControl/>
        <w:keepLines/>
      </w:pPr>
      <w:r>
        <w:rPr>
          <w:rFonts w:ascii="Arial" w:hAnsi="Arial"/>
          <w:sz w:val="21"/>
          <w:lang w:val="pt-BR"/>
        </w:rPr>
        <w:t xml:space="preserve">Esta matriz deverá ser validada no planejamento e considerada na pesquisa de preços. Não afasta as exceções legais ao risco alocado, as responsabilidades constitucionais ou o devido processo para apuração de danos e sanções.</w:t>
      </w:r>
    </w:p>
    <w:sectPr w:rsidR="00D35597" w:rsidRPr="001446FA" w:rsidSect="00232AD4">
      <w:headerReference w:type="default" r:id="rId8"/>
      <w:footerReference w:type="default" r:id="rId9"/>
      <w:pgSz w:w="11906" w:h="16838" w:code="9"/>
      <w:pgMar w:top="1134" w:right="566" w:bottom="1134" w:left="1080" w:header="709" w:footer="152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F394F" w14:textId="77777777" w:rsidR="0039747F" w:rsidRDefault="0039747F">
      <w:r>
        <w:separator/>
      </w:r>
    </w:p>
  </w:endnote>
  <w:endnote w:type="continuationSeparator" w:id="0">
    <w:p w14:paraId="51C62463" w14:textId="77777777" w:rsidR="0039747F" w:rsidRDefault="0039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altName w:val="Univers"/>
    <w:panose1 w:val="020B0603020202030204"/>
    <w:charset w:val="00"/>
    <w:family w:val="swiss"/>
    <w:pitch w:val="variable"/>
    <w:sig w:usb0="80000287" w:usb1="00000000" w:usb2="00000000" w:usb3="00000000" w:csb0="0000000F" w:csb1="00000000"/>
  </w:font>
  <w:font w:name="Switzerland">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923D" w14:textId="77777777" w:rsidR="00232AD4" w:rsidRDefault="00232AD4">
    <w:pPr>
      <w:pStyle w:val="Rodap"/>
    </w:pPr>
    <w:r>
      <w:rPr>
        <w:noProof/>
      </w:rPr>
      <w:drawing>
        <wp:anchor distT="0" distB="0" distL="114300" distR="114300" simplePos="0" relativeHeight="251665920" behindDoc="1" locked="0" layoutInCell="1" allowOverlap="1" wp14:anchorId="3A4985EE" wp14:editId="31A3D108">
          <wp:simplePos x="0" y="0"/>
          <wp:positionH relativeFrom="column">
            <wp:posOffset>-676275</wp:posOffset>
          </wp:positionH>
          <wp:positionV relativeFrom="paragraph">
            <wp:posOffset>74295</wp:posOffset>
          </wp:positionV>
          <wp:extent cx="7576175" cy="1064895"/>
          <wp:effectExtent l="0" t="0" r="6350" b="190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6175"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874FA" w14:textId="77777777" w:rsidR="0039747F" w:rsidRDefault="0039747F">
      <w:r>
        <w:separator/>
      </w:r>
    </w:p>
  </w:footnote>
  <w:footnote w:type="continuationSeparator" w:id="0">
    <w:p w14:paraId="7F7608FE" w14:textId="77777777" w:rsidR="0039747F" w:rsidRDefault="00397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9628" w14:textId="7AD832D4" w:rsidR="001537CD" w:rsidRPr="006935C1" w:rsidRDefault="00FA5316" w:rsidP="00642EBF">
    <w:pPr>
      <w:tabs>
        <w:tab w:val="left" w:pos="2031"/>
        <w:tab w:val="left" w:pos="2984"/>
        <w:tab w:val="left" w:pos="3937"/>
        <w:tab w:val="left" w:pos="4890"/>
        <w:tab w:val="left" w:pos="5843"/>
        <w:tab w:val="left" w:pos="6787"/>
        <w:tab w:val="left" w:pos="7731"/>
      </w:tabs>
      <w:ind w:left="140"/>
      <w:jc w:val="right"/>
      <w:rPr>
        <w:rFonts w:ascii="Arial" w:hAnsi="Arial" w:cs="Arial"/>
        <w:b/>
        <w:bCs/>
        <w:color w:val="404040" w:themeColor="text1" w:themeTint="BF"/>
        <w:sz w:val="28"/>
        <w:szCs w:val="28"/>
      </w:rPr>
    </w:pPr>
    <w:r w:rsidRPr="006935C1">
      <w:rPr>
        <w:b/>
        <w:bCs/>
        <w:noProof/>
        <w:color w:val="404040" w:themeColor="text1" w:themeTint="BF"/>
        <w:sz w:val="28"/>
        <w:szCs w:val="28"/>
      </w:rPr>
      <w:drawing>
        <wp:anchor distT="0" distB="0" distL="114300" distR="114300" simplePos="0" relativeHeight="251658752" behindDoc="0" locked="0" layoutInCell="1" allowOverlap="1" wp14:anchorId="546AC6E1" wp14:editId="7F895263">
          <wp:simplePos x="0" y="0"/>
          <wp:positionH relativeFrom="margin">
            <wp:align>left</wp:align>
          </wp:positionH>
          <wp:positionV relativeFrom="paragraph">
            <wp:posOffset>-202565</wp:posOffset>
          </wp:positionV>
          <wp:extent cx="2166620" cy="726440"/>
          <wp:effectExtent l="0" t="0" r="508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66620" cy="726440"/>
                  </a:xfrm>
                  <a:prstGeom prst="rect">
                    <a:avLst/>
                  </a:prstGeom>
                  <a:ln/>
                </pic:spPr>
              </pic:pic>
            </a:graphicData>
          </a:graphic>
        </wp:anchor>
      </w:drawing>
    </w:r>
    <w:r w:rsidR="00600A6E">
      <w:rPr>
        <w:rFonts w:ascii="Arial" w:hAnsi="Arial" w:cs="Arial"/>
        <w:b/>
        <w:bCs/>
        <w:color w:val="404040" w:themeColor="text1" w:themeTint="BF"/>
        <w:sz w:val="28"/>
        <w:szCs w:val="28"/>
      </w:rPr>
      <w:t>#FUNDO</w:t>
    </w:r>
  </w:p>
  <w:p w14:paraId="128A4BBC" w14:textId="7F6AFBA3" w:rsidR="00726AF3" w:rsidRPr="006935C1" w:rsidRDefault="00600A6E" w:rsidP="00642EBF">
    <w:pPr>
      <w:pBdr>
        <w:bottom w:val="single" w:sz="6" w:space="1" w:color="auto"/>
      </w:pBdr>
      <w:tabs>
        <w:tab w:val="left" w:pos="5843"/>
        <w:tab w:val="left" w:pos="6787"/>
      </w:tabs>
      <w:ind w:left="140"/>
      <w:jc w:val="right"/>
      <w:rPr>
        <w:color w:val="404040" w:themeColor="text1" w:themeTint="BF"/>
      </w:rPr>
    </w:pPr>
    <w:r>
      <w:rPr>
        <w:color w:val="404040" w:themeColor="text1" w:themeTint="BF"/>
      </w:rPr>
      <w:t>#</w:t>
    </w:r>
    <w:r w:rsidR="001537CD" w:rsidRPr="006935C1">
      <w:rPr>
        <w:color w:val="404040" w:themeColor="text1" w:themeTint="BF"/>
      </w:rPr>
      <w:t>ADM</w:t>
    </w:r>
  </w:p>
  <w:p w14:paraId="5E881E8C" w14:textId="76C8B14F" w:rsidR="005A42D6" w:rsidRDefault="00490DBA" w:rsidP="005A42D6">
    <w:pPr>
      <w:pBdr>
        <w:bottom w:val="single" w:sz="6" w:space="1" w:color="auto"/>
      </w:pBdr>
      <w:tabs>
        <w:tab w:val="left" w:pos="5843"/>
        <w:tab w:val="left" w:pos="6787"/>
      </w:tabs>
      <w:ind w:left="140"/>
    </w:pPr>
    <w:r>
      <w:rPr>
        <w:noProof/>
      </w:rPr>
      <mc:AlternateContent>
        <mc:Choice Requires="wps">
          <w:drawing>
            <wp:anchor distT="0" distB="0" distL="114300" distR="114300" simplePos="0" relativeHeight="251667968" behindDoc="0" locked="0" layoutInCell="1" allowOverlap="1" wp14:anchorId="7E3352AF" wp14:editId="3D8B8314">
              <wp:simplePos x="0" y="0"/>
              <wp:positionH relativeFrom="margin">
                <wp:posOffset>2266950</wp:posOffset>
              </wp:positionH>
              <wp:positionV relativeFrom="paragraph">
                <wp:posOffset>55880</wp:posOffset>
              </wp:positionV>
              <wp:extent cx="4343400" cy="238125"/>
              <wp:effectExtent l="0" t="0" r="0" b="0"/>
              <wp:wrapNone/>
              <wp:docPr id="2046485368" name="Caixa de Texto 1"/>
              <wp:cNvGraphicFramePr/>
              <a:graphic xmlns:a="http://schemas.openxmlformats.org/drawingml/2006/main">
                <a:graphicData uri="http://schemas.microsoft.com/office/word/2010/wordprocessingShape">
                  <wps:wsp>
                    <wps:cNvSpPr txBox="1"/>
                    <wps:spPr>
                      <a:xfrm>
                        <a:off x="0" y="0"/>
                        <a:ext cx="4343400" cy="238125"/>
                      </a:xfrm>
                      <a:prstGeom prst="rect">
                        <a:avLst/>
                      </a:prstGeom>
                      <a:noFill/>
                      <a:ln w="6350">
                        <a:noFill/>
                      </a:ln>
                    </wps:spPr>
                    <wps:txbx>
                      <w:txbxContent>
                        <w:sdt>
                          <w:sdtPr>
                            <w:rPr>
                              <w:rFonts w:ascii="Arial" w:hAnsi="Arial" w:cs="Arial"/>
                              <w:sz w:val="20"/>
                              <w:szCs w:val="20"/>
                            </w:rPr>
                            <w:id w:val="-1318336367"/>
                            <w:docPartObj>
                              <w:docPartGallery w:val="Page Numbers (Top of Page)"/>
                              <w:docPartUnique/>
                            </w:docPartObj>
                          </w:sdtPr>
                          <w:sdtContent>
                            <w:p w14:paraId="0AA89713" w14:textId="3B217295" w:rsidR="00F606B8" w:rsidRPr="00F606B8" w:rsidRDefault="00600A6E" w:rsidP="00F606B8">
                              <w:pPr>
                                <w:pStyle w:val="Cabealho"/>
                                <w:jc w:val="right"/>
                                <w:rPr>
                                  <w:rFonts w:ascii="Arial" w:hAnsi="Arial" w:cs="Arial"/>
                                  <w:sz w:val="20"/>
                                  <w:szCs w:val="20"/>
                                </w:rPr>
                              </w:pPr>
                              <w:r>
                                <w:rPr>
                                  <w:rFonts w:ascii="Arial" w:hAnsi="Arial" w:cs="Arial"/>
                                  <w:sz w:val="20"/>
                                  <w:szCs w:val="20"/>
                                </w:rPr>
                                <w:t xml:space="preserve">Processo: #Processo – Contrato: #Contrato - </w:t>
                              </w:r>
                              <w:r w:rsidR="00F606B8" w:rsidRPr="00F606B8">
                                <w:rPr>
                                  <w:rFonts w:ascii="Arial" w:hAnsi="Arial" w:cs="Arial"/>
                                  <w:sz w:val="20"/>
                                  <w:szCs w:val="20"/>
                                </w:rPr>
                                <w:t xml:space="preserve">Página </w:t>
                              </w:r>
                              <w:r w:rsidR="00F606B8" w:rsidRPr="00F606B8">
                                <w:rPr>
                                  <w:rFonts w:ascii="Arial" w:hAnsi="Arial" w:cs="Arial"/>
                                  <w:b/>
                                  <w:bCs/>
                                  <w:sz w:val="20"/>
                                  <w:szCs w:val="20"/>
                                </w:rPr>
                                <w:fldChar w:fldCharType="begin" w:dirty="true"/>
                              </w:r>
                              <w:r w:rsidR="00F606B8" w:rsidRPr="00F606B8">
                                <w:rPr>
                                  <w:rFonts w:ascii="Arial" w:hAnsi="Arial" w:cs="Arial"/>
                                  <w:b/>
                                  <w:bCs/>
                                  <w:sz w:val="20"/>
                                  <w:szCs w:val="20"/>
                                </w:rPr>
                                <w:instrText>PAGE</w:instrText>
                              </w:r>
                              <w:r w:rsidR="00F606B8" w:rsidRPr="00F606B8">
                                <w:rPr>
                                  <w:rFonts w:ascii="Arial" w:hAnsi="Arial" w:cs="Arial"/>
                                  <w:b/>
                                  <w:bCs/>
                                  <w:sz w:val="20"/>
                                  <w:szCs w:val="20"/>
                                </w:rPr>
                                <w:fldChar w:fldCharType="separate" w:dirty="true"/>
                              </w:r>
                              <w:r w:rsidR="00F606B8" w:rsidRPr="00F606B8">
                                <w:rPr>
                                  <w:rFonts w:ascii="Arial" w:hAnsi="Arial" w:cs="Arial"/>
                                  <w:b/>
                                  <w:bCs/>
                                  <w:sz w:val="20"/>
                                  <w:szCs w:val="20"/>
                                </w:rPr>
                                <w:t>1</w:t>
                              </w:r>
                              <w:r w:rsidR="00F606B8" w:rsidRPr="00F606B8">
                                <w:rPr>
                                  <w:rFonts w:ascii="Arial" w:hAnsi="Arial" w:cs="Arial"/>
                                  <w:b/>
                                  <w:bCs/>
                                  <w:sz w:val="20"/>
                                  <w:szCs w:val="20"/>
                                </w:rPr>
                                <w:fldChar w:fldCharType="end" w:dirty="true"/>
                              </w:r>
                              <w:r w:rsidR="00F606B8" w:rsidRPr="00F606B8">
                                <w:rPr>
                                  <w:rFonts w:ascii="Arial" w:hAnsi="Arial" w:cs="Arial"/>
                                  <w:sz w:val="20"/>
                                  <w:szCs w:val="20"/>
                                </w:rPr>
                                <w:t xml:space="preserve"> de </w:t>
                              </w:r>
                              <w:r w:rsidR="00F606B8" w:rsidRPr="00F606B8">
                                <w:rPr>
                                  <w:rFonts w:ascii="Arial" w:hAnsi="Arial" w:cs="Arial"/>
                                  <w:b/>
                                  <w:bCs/>
                                  <w:sz w:val="20"/>
                                  <w:szCs w:val="20"/>
                                </w:rPr>
                                <w:fldChar w:fldCharType="begin" w:dirty="true"/>
                              </w:r>
                              <w:r w:rsidR="00F606B8" w:rsidRPr="00F606B8">
                                <w:rPr>
                                  <w:rFonts w:ascii="Arial" w:hAnsi="Arial" w:cs="Arial"/>
                                  <w:b/>
                                  <w:bCs/>
                                  <w:sz w:val="20"/>
                                  <w:szCs w:val="20"/>
                                </w:rPr>
                                <w:instrText>NUMPAGES</w:instrText>
                              </w:r>
                              <w:r w:rsidR="00F606B8" w:rsidRPr="00F606B8">
                                <w:rPr>
                                  <w:rFonts w:ascii="Arial" w:hAnsi="Arial" w:cs="Arial"/>
                                  <w:b/>
                                  <w:bCs/>
                                  <w:sz w:val="20"/>
                                  <w:szCs w:val="20"/>
                                </w:rPr>
                                <w:fldChar w:fldCharType="separate" w:dirty="true"/>
                              </w:r>
                              <w:r w:rsidR="00F606B8" w:rsidRPr="00F606B8">
                                <w:rPr>
                                  <w:rFonts w:ascii="Arial" w:hAnsi="Arial" w:cs="Arial"/>
                                  <w:b/>
                                  <w:bCs/>
                                  <w:sz w:val="20"/>
                                  <w:szCs w:val="20"/>
                                </w:rPr>
                                <w:t/>
                              </w:r>
                              <w:r w:rsidR="00F606B8" w:rsidRPr="00F606B8">
                                <w:rPr>
                                  <w:rFonts w:ascii="Arial" w:hAnsi="Arial" w:cs="Arial"/>
                                  <w:b/>
                                  <w:bCs/>
                                  <w:sz w:val="20"/>
                                  <w:szCs w:val="20"/>
                                </w:rPr>
                                <w:fldChar w:fldCharType="end" w:dirty="true"/>
                              </w:r>
                            </w:p>
                          </w:sdtContent>
                        </w:sdt>
                        <w:p w14:paraId="11F80C8C" w14:textId="77C9900F" w:rsidR="00490DBA" w:rsidRPr="00F606B8" w:rsidRDefault="00490DBA" w:rsidP="00490DBA">
                          <w:pPr>
                            <w:jc w:val="right"/>
                            <w:rPr>
                              <w:rFonts w:ascii="Arial" w:hAnsi="Arial" w:cs="Arial"/>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3352AF" id="_x0000_t202" coordsize="21600,21600" o:spt="202" path="m,l,21600r21600,l21600,xe">
              <v:stroke joinstyle="miter"/>
              <v:path gradientshapeok="t" o:connecttype="rect"/>
            </v:shapetype>
            <v:shape id="Caixa de Texto 1" o:spid="_x0000_s1026" type="#_x0000_t202" style="position:absolute;left:0;text-align:left;margin-left:178.5pt;margin-top:4.4pt;width:342pt;height:18.7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" filled="f" stroked="f" strokeweight=".5pt">
              <v:textbox>
                <w:txbxContent>
                  <w:sdt>
                    <w:sdtPr>
                      <w:rPr>
                        <w:rFonts w:ascii="Arial" w:hAnsi="Arial" w:cs="Arial"/>
                        <w:sz w:val="20"/>
                        <w:szCs w:val="20"/>
                      </w:rPr>
                      <w:id w:val="-1318336367"/>
                      <w:docPartObj>
                        <w:docPartGallery w:val="Page Numbers (Top of Page)"/>
                        <w:docPartUnique/>
                      </w:docPartObj>
                    </w:sdtPr>
                    <w:sdtContent>
                      <w:p w14:paraId="0AA89713" w14:textId="3B217295" w:rsidR="00F606B8" w:rsidRPr="00F606B8" w:rsidRDefault="00600A6E" w:rsidP="00F606B8">
                        <w:pPr>
                          <w:pStyle w:val="Cabealho"/>
                          <w:jc w:val="right"/>
                          <w:rPr>
                            <w:rFonts w:ascii="Arial" w:hAnsi="Arial" w:cs="Arial"/>
                            <w:sz w:val="20"/>
                            <w:szCs w:val="20"/>
                          </w:rPr>
                        </w:pPr>
                        <w:r>
                          <w:rPr>
                            <w:rFonts w:ascii="Arial" w:hAnsi="Arial" w:cs="Arial"/>
                            <w:sz w:val="20"/>
                            <w:szCs w:val="20"/>
                          </w:rPr>
                          <w:t xml:space="preserve">Processo: #Processo – Contrato: #Contrato - </w:t>
                        </w:r>
                        <w:r w:rsidR="00F606B8" w:rsidRPr="00F606B8">
                          <w:rPr>
                            <w:rFonts w:ascii="Arial" w:hAnsi="Arial" w:cs="Arial"/>
                            <w:sz w:val="20"/>
                            <w:szCs w:val="20"/>
                          </w:rPr>
                          <w:t xml:space="preserve">Página </w:t>
                        </w:r>
                        <w:r w:rsidR="00F606B8" w:rsidRPr="00F606B8">
                          <w:rPr>
                            <w:rFonts w:ascii="Arial" w:hAnsi="Arial" w:cs="Arial"/>
                            <w:b/>
                            <w:bCs/>
                            <w:sz w:val="20"/>
                            <w:szCs w:val="20"/>
                          </w:rPr>
                          <w:fldChar w:fldCharType="begin" w:dirty="true"/>
                        </w:r>
                        <w:r w:rsidR="00F606B8" w:rsidRPr="00F606B8">
                          <w:rPr>
                            <w:rFonts w:ascii="Arial" w:hAnsi="Arial" w:cs="Arial"/>
                            <w:b/>
                            <w:bCs/>
                            <w:sz w:val="20"/>
                            <w:szCs w:val="20"/>
                          </w:rPr>
                          <w:instrText>PAGE</w:instrText>
                        </w:r>
                        <w:r w:rsidR="00F606B8" w:rsidRPr="00F606B8">
                          <w:rPr>
                            <w:rFonts w:ascii="Arial" w:hAnsi="Arial" w:cs="Arial"/>
                            <w:b/>
                            <w:bCs/>
                            <w:sz w:val="20"/>
                            <w:szCs w:val="20"/>
                          </w:rPr>
                          <w:fldChar w:fldCharType="separate" w:dirty="true"/>
                        </w:r>
                        <w:r w:rsidR="00F606B8" w:rsidRPr="00F606B8">
                          <w:rPr>
                            <w:rFonts w:ascii="Arial" w:hAnsi="Arial" w:cs="Arial"/>
                            <w:b/>
                            <w:bCs/>
                            <w:sz w:val="20"/>
                            <w:szCs w:val="20"/>
                          </w:rPr>
                          <w:t>1</w:t>
                        </w:r>
                        <w:r w:rsidR="00F606B8" w:rsidRPr="00F606B8">
                          <w:rPr>
                            <w:rFonts w:ascii="Arial" w:hAnsi="Arial" w:cs="Arial"/>
                            <w:b/>
                            <w:bCs/>
                            <w:sz w:val="20"/>
                            <w:szCs w:val="20"/>
                          </w:rPr>
                          <w:fldChar w:fldCharType="end" w:dirty="true"/>
                        </w:r>
                        <w:r w:rsidR="00F606B8" w:rsidRPr="00F606B8">
                          <w:rPr>
                            <w:rFonts w:ascii="Arial" w:hAnsi="Arial" w:cs="Arial"/>
                            <w:sz w:val="20"/>
                            <w:szCs w:val="20"/>
                          </w:rPr>
                          <w:t xml:space="preserve"> de </w:t>
                        </w:r>
                        <w:r w:rsidR="00F606B8" w:rsidRPr="00F606B8">
                          <w:rPr>
                            <w:rFonts w:ascii="Arial" w:hAnsi="Arial" w:cs="Arial"/>
                            <w:b/>
                            <w:bCs/>
                            <w:sz w:val="20"/>
                            <w:szCs w:val="20"/>
                          </w:rPr>
                          <w:fldChar w:fldCharType="begin" w:dirty="true"/>
                        </w:r>
                        <w:r w:rsidR="00F606B8" w:rsidRPr="00F606B8">
                          <w:rPr>
                            <w:rFonts w:ascii="Arial" w:hAnsi="Arial" w:cs="Arial"/>
                            <w:b/>
                            <w:bCs/>
                            <w:sz w:val="20"/>
                            <w:szCs w:val="20"/>
                          </w:rPr>
                          <w:instrText>NUMPAGES</w:instrText>
                        </w:r>
                        <w:r w:rsidR="00F606B8" w:rsidRPr="00F606B8">
                          <w:rPr>
                            <w:rFonts w:ascii="Arial" w:hAnsi="Arial" w:cs="Arial"/>
                            <w:b/>
                            <w:bCs/>
                            <w:sz w:val="20"/>
                            <w:szCs w:val="20"/>
                          </w:rPr>
                          <w:fldChar w:fldCharType="separate" w:dirty="true"/>
                        </w:r>
                        <w:r w:rsidR="00F606B8" w:rsidRPr="00F606B8">
                          <w:rPr>
                            <w:rFonts w:ascii="Arial" w:hAnsi="Arial" w:cs="Arial"/>
                            <w:b/>
                            <w:bCs/>
                            <w:sz w:val="20"/>
                            <w:szCs w:val="20"/>
                          </w:rPr>
                          <w:t/>
                        </w:r>
                        <w:r w:rsidR="00F606B8" w:rsidRPr="00F606B8">
                          <w:rPr>
                            <w:rFonts w:ascii="Arial" w:hAnsi="Arial" w:cs="Arial"/>
                            <w:b/>
                            <w:bCs/>
                            <w:sz w:val="20"/>
                            <w:szCs w:val="20"/>
                          </w:rPr>
                          <w:fldChar w:fldCharType="end" w:dirty="true"/>
                        </w:r>
                      </w:p>
                    </w:sdtContent>
                  </w:sdt>
                  <w:p w14:paraId="11F80C8C" w14:textId="77C9900F" w:rsidR="00490DBA" w:rsidRPr="00F606B8" w:rsidRDefault="00490DBA" w:rsidP="00490DBA">
                    <w:pPr>
                      <w:jc w:val="right"/>
                      <w:rPr>
                        <w:rFonts w:ascii="Arial" w:hAnsi="Arial" w:cs="Arial"/>
                        <w:sz w:val="20"/>
                        <w:szCs w:val="20"/>
                      </w:rPr>
                    </w:pPr>
                  </w:p>
                </w:txbxContent>
              </v:textbox>
              <w10:wrap anchorx="margin"/>
            </v:shape>
          </w:pict>
        </mc:Fallback>
      </mc:AlternateContent>
    </w:r>
  </w:p>
  <w:p w14:paraId="2708C3FE" w14:textId="77777777" w:rsidR="005A42D6" w:rsidRPr="005A42D6" w:rsidRDefault="005A42D6" w:rsidP="005A42D6">
    <w:pPr>
      <w:pBdr>
        <w:bottom w:val="single" w:sz="6" w:space="1" w:color="auto"/>
      </w:pBdr>
      <w:tabs>
        <w:tab w:val="left" w:pos="5843"/>
        <w:tab w:val="left" w:pos="6787"/>
      </w:tabs>
      <w:ind w:left="140"/>
      <w:rPr>
        <w:rFonts w:ascii="Arial" w:hAnsi="Arial" w:cs="Arial"/>
        <w:sz w:val="10"/>
        <w:szCs w:val="10"/>
      </w:rPr>
    </w:pPr>
  </w:p>
  <w:p w14:paraId="1653A6AA" w14:textId="77777777" w:rsidR="001537CD" w:rsidRPr="006935C1" w:rsidRDefault="001537CD">
    <w:pPr>
      <w:pStyle w:val="Cabealh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F95"/>
    <w:multiLevelType w:val="multilevel"/>
    <w:tmpl w:val="73B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7A27"/>
    <w:multiLevelType w:val="multilevel"/>
    <w:tmpl w:val="1402EBD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213B78"/>
    <w:multiLevelType w:val="multilevel"/>
    <w:tmpl w:val="61AEE0A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B4128A"/>
    <w:multiLevelType w:val="hybridMultilevel"/>
    <w:tmpl w:val="B720B7B8"/>
    <w:lvl w:ilvl="0" w:tplc="BEB24792">
      <w:start w:val="1"/>
      <w:numFmt w:val="upperRoman"/>
      <w:lvlText w:val="%1."/>
      <w:lvlJc w:val="right"/>
      <w:pPr>
        <w:ind w:left="36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8C8565B"/>
    <w:multiLevelType w:val="multilevel"/>
    <w:tmpl w:val="41A01BB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B484BEC"/>
    <w:multiLevelType w:val="multilevel"/>
    <w:tmpl w:val="ABD6B2C0"/>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5C100D"/>
    <w:multiLevelType w:val="multilevel"/>
    <w:tmpl w:val="93FEF95C"/>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3198" w:hanging="504"/>
      </w:pPr>
      <w:rPr>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6464CC"/>
    <w:multiLevelType w:val="hybridMultilevel"/>
    <w:tmpl w:val="437418E8"/>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8" w15:restartNumberingAfterBreak="0">
    <w:nsid w:val="26827D31"/>
    <w:multiLevelType w:val="multilevel"/>
    <w:tmpl w:val="057CAC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6B35763"/>
    <w:multiLevelType w:val="hybridMultilevel"/>
    <w:tmpl w:val="D578EE9C"/>
    <w:lvl w:ilvl="0" w:tplc="28CA554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D42E22"/>
    <w:multiLevelType w:val="multilevel"/>
    <w:tmpl w:val="08EEE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3A2DBA"/>
    <w:multiLevelType w:val="multilevel"/>
    <w:tmpl w:val="DC7646E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C343D06"/>
    <w:multiLevelType w:val="hybridMultilevel"/>
    <w:tmpl w:val="67548D4C"/>
    <w:lvl w:ilvl="0" w:tplc="77F0AD6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6042893"/>
    <w:multiLevelType w:val="multilevel"/>
    <w:tmpl w:val="769A58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DD3D27"/>
    <w:multiLevelType w:val="multilevel"/>
    <w:tmpl w:val="F5DA6BE6"/>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5DE02187"/>
    <w:multiLevelType w:val="hybridMultilevel"/>
    <w:tmpl w:val="5106DA0E"/>
    <w:lvl w:ilvl="0" w:tplc="E74854C8">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052773C"/>
    <w:multiLevelType w:val="hybridMultilevel"/>
    <w:tmpl w:val="452AF37C"/>
    <w:lvl w:ilvl="0" w:tplc="C9AEA0A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1DD361E"/>
    <w:multiLevelType w:val="multilevel"/>
    <w:tmpl w:val="B2783BDE"/>
    <w:lvl w:ilvl="0">
      <w:start w:val="1"/>
      <w:numFmt w:val="decimal"/>
      <w:pStyle w:val="Nivel01Titulo"/>
      <w:lvlText w:val="%1."/>
      <w:lvlJc w:val="left"/>
      <w:pPr>
        <w:ind w:left="360" w:hanging="360"/>
      </w:pPr>
      <w:rPr>
        <w:rFonts w:hint="default"/>
        <w:b/>
        <w:i w:val="0"/>
      </w:rPr>
    </w:lvl>
    <w:lvl w:ilvl="1">
      <w:start w:val="1"/>
      <w:numFmt w:val="decimal"/>
      <w:suff w:val="space"/>
      <w:lvlText w:val="%1.%2."/>
      <w:lvlJc w:val="left"/>
      <w:pPr>
        <w:ind w:left="426" w:firstLine="0"/>
      </w:pPr>
      <w:rPr>
        <w:rFonts w:hint="default"/>
        <w:b w:val="0"/>
        <w:i w:val="0"/>
        <w:color w:val="auto"/>
      </w:rPr>
    </w:lvl>
    <w:lvl w:ilvl="2">
      <w:start w:val="1"/>
      <w:numFmt w:val="decimal"/>
      <w:suff w:val="space"/>
      <w:lvlText w:val="%1.%2.%3."/>
      <w:lvlJc w:val="left"/>
      <w:pPr>
        <w:ind w:left="1135" w:firstLine="0"/>
      </w:pPr>
      <w:rPr>
        <w:rFonts w:hint="default"/>
        <w:b w:val="0"/>
        <w:i w:val="0"/>
        <w:color w:val="auto"/>
      </w:rPr>
    </w:lvl>
    <w:lvl w:ilvl="3">
      <w:start w:val="1"/>
      <w:numFmt w:val="decimal"/>
      <w:suff w:val="space"/>
      <w:lvlText w:val="%1.%2.%3.%4."/>
      <w:lvlJc w:val="left"/>
      <w:pPr>
        <w:ind w:left="1702" w:firstLine="0"/>
      </w:pPr>
      <w:rPr>
        <w:rFonts w:hint="default"/>
        <w:b w:val="0"/>
        <w:bCs/>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53022FF"/>
    <w:multiLevelType w:val="hybridMultilevel"/>
    <w:tmpl w:val="B1103C66"/>
    <w:lvl w:ilvl="0" w:tplc="D496FCEA">
      <w:start w:val="1"/>
      <w:numFmt w:val="lowerLetter"/>
      <w:suff w:val="space"/>
      <w:lvlText w:val="%1."/>
      <w:lvlJc w:val="left"/>
      <w:pPr>
        <w:ind w:left="851" w:firstLine="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EC36C97"/>
    <w:multiLevelType w:val="multilevel"/>
    <w:tmpl w:val="6B0630F6"/>
    <w:lvl w:ilvl="0">
      <w:start w:val="14"/>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742B7209"/>
    <w:multiLevelType w:val="hybridMultilevel"/>
    <w:tmpl w:val="91BAFDCC"/>
    <w:lvl w:ilvl="0" w:tplc="2892CCCC">
      <w:start w:val="1"/>
      <w:numFmt w:val="upperRoman"/>
      <w:lvlText w:val="%1."/>
      <w:lvlJc w:val="right"/>
      <w:pPr>
        <w:ind w:left="720" w:hanging="360"/>
      </w:pPr>
      <w:rPr>
        <w:rFonts w:ascii="Arial" w:hAnsi="Arial" w:cs="Arial"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747579AC"/>
    <w:multiLevelType w:val="multilevel"/>
    <w:tmpl w:val="19E0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045AAB"/>
    <w:multiLevelType w:val="multilevel"/>
    <w:tmpl w:val="33C8C6F2"/>
    <w:lvl w:ilvl="0">
      <w:start w:val="10"/>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7A596A7F"/>
    <w:multiLevelType w:val="hybridMultilevel"/>
    <w:tmpl w:val="CFC442BE"/>
    <w:lvl w:ilvl="0" w:tplc="BEB24792">
      <w:start w:val="1"/>
      <w:numFmt w:val="upperRoman"/>
      <w:lvlText w:val="%1."/>
      <w:lvlJc w:val="right"/>
      <w:pPr>
        <w:ind w:left="72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DC6603C"/>
    <w:multiLevelType w:val="hybridMultilevel"/>
    <w:tmpl w:val="383EF9B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EDA52E3"/>
    <w:multiLevelType w:val="multilevel"/>
    <w:tmpl w:val="92BCA1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64044883">
    <w:abstractNumId w:val="4"/>
  </w:num>
  <w:num w:numId="2" w16cid:durableId="336929157">
    <w:abstractNumId w:val="2"/>
  </w:num>
  <w:num w:numId="3" w16cid:durableId="685596151">
    <w:abstractNumId w:val="22"/>
  </w:num>
  <w:num w:numId="4" w16cid:durableId="376583965">
    <w:abstractNumId w:val="19"/>
  </w:num>
  <w:num w:numId="5" w16cid:durableId="2039623675">
    <w:abstractNumId w:val="14"/>
  </w:num>
  <w:num w:numId="6" w16cid:durableId="344942674">
    <w:abstractNumId w:val="8"/>
  </w:num>
  <w:num w:numId="7" w16cid:durableId="1446192974">
    <w:abstractNumId w:val="11"/>
  </w:num>
  <w:num w:numId="8" w16cid:durableId="549538283">
    <w:abstractNumId w:val="7"/>
  </w:num>
  <w:num w:numId="9" w16cid:durableId="393705579">
    <w:abstractNumId w:val="3"/>
  </w:num>
  <w:num w:numId="10" w16cid:durableId="1291982397">
    <w:abstractNumId w:val="23"/>
  </w:num>
  <w:num w:numId="11" w16cid:durableId="51736674">
    <w:abstractNumId w:val="15"/>
  </w:num>
  <w:num w:numId="12" w16cid:durableId="497769467">
    <w:abstractNumId w:val="20"/>
  </w:num>
  <w:num w:numId="13" w16cid:durableId="1958943476">
    <w:abstractNumId w:val="24"/>
  </w:num>
  <w:num w:numId="14" w16cid:durableId="1874418462">
    <w:abstractNumId w:val="12"/>
  </w:num>
  <w:num w:numId="15" w16cid:durableId="1251700000">
    <w:abstractNumId w:val="9"/>
  </w:num>
  <w:num w:numId="16" w16cid:durableId="402221286">
    <w:abstractNumId w:val="16"/>
  </w:num>
  <w:num w:numId="17" w16cid:durableId="1255171126">
    <w:abstractNumId w:val="17"/>
  </w:num>
  <w:num w:numId="18" w16cid:durableId="864750938">
    <w:abstractNumId w:val="21"/>
  </w:num>
  <w:num w:numId="19" w16cid:durableId="841314867">
    <w:abstractNumId w:val="0"/>
  </w:num>
  <w:num w:numId="20" w16cid:durableId="263616555">
    <w:abstractNumId w:val="1"/>
  </w:num>
  <w:num w:numId="21" w16cid:durableId="2047946840">
    <w:abstractNumId w:val="13"/>
  </w:num>
  <w:num w:numId="22" w16cid:durableId="880675268">
    <w:abstractNumId w:val="6"/>
  </w:num>
  <w:num w:numId="23" w16cid:durableId="1313944812">
    <w:abstractNumId w:val="25"/>
  </w:num>
  <w:num w:numId="24" w16cid:durableId="1009868653">
    <w:abstractNumId w:val="10"/>
  </w:num>
  <w:num w:numId="25" w16cid:durableId="178468646">
    <w:abstractNumId w:val="5"/>
  </w:num>
  <w:num w:numId="26" w16cid:durableId="17539701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A2"/>
    <w:rsid w:val="00002AAD"/>
    <w:rsid w:val="000043AD"/>
    <w:rsid w:val="00007DDF"/>
    <w:rsid w:val="000163EC"/>
    <w:rsid w:val="000239CC"/>
    <w:rsid w:val="00024570"/>
    <w:rsid w:val="00027752"/>
    <w:rsid w:val="00037BA7"/>
    <w:rsid w:val="00046805"/>
    <w:rsid w:val="00057E36"/>
    <w:rsid w:val="00057E89"/>
    <w:rsid w:val="000A355F"/>
    <w:rsid w:val="000B1137"/>
    <w:rsid w:val="000C5F9A"/>
    <w:rsid w:val="000D1D4E"/>
    <w:rsid w:val="000D2278"/>
    <w:rsid w:val="000D2ACF"/>
    <w:rsid w:val="000F3BEE"/>
    <w:rsid w:val="000F4F77"/>
    <w:rsid w:val="0010258A"/>
    <w:rsid w:val="00111388"/>
    <w:rsid w:val="001132B3"/>
    <w:rsid w:val="00123EAA"/>
    <w:rsid w:val="00124741"/>
    <w:rsid w:val="00133622"/>
    <w:rsid w:val="001348B2"/>
    <w:rsid w:val="00135085"/>
    <w:rsid w:val="00142FFA"/>
    <w:rsid w:val="001446FA"/>
    <w:rsid w:val="001537CD"/>
    <w:rsid w:val="00156AC5"/>
    <w:rsid w:val="00197FDA"/>
    <w:rsid w:val="001A7E01"/>
    <w:rsid w:val="001C6104"/>
    <w:rsid w:val="001D6C98"/>
    <w:rsid w:val="001E2FDA"/>
    <w:rsid w:val="0020616C"/>
    <w:rsid w:val="00215CA2"/>
    <w:rsid w:val="00223FC4"/>
    <w:rsid w:val="00232AD4"/>
    <w:rsid w:val="002332AA"/>
    <w:rsid w:val="00245697"/>
    <w:rsid w:val="00245BCC"/>
    <w:rsid w:val="00247771"/>
    <w:rsid w:val="002615D2"/>
    <w:rsid w:val="0027521F"/>
    <w:rsid w:val="00276169"/>
    <w:rsid w:val="002834AF"/>
    <w:rsid w:val="002B4383"/>
    <w:rsid w:val="002C1979"/>
    <w:rsid w:val="002E752A"/>
    <w:rsid w:val="003001BF"/>
    <w:rsid w:val="003021A7"/>
    <w:rsid w:val="0031432B"/>
    <w:rsid w:val="00320131"/>
    <w:rsid w:val="0033428E"/>
    <w:rsid w:val="003355E0"/>
    <w:rsid w:val="00335680"/>
    <w:rsid w:val="00353A33"/>
    <w:rsid w:val="00353DAB"/>
    <w:rsid w:val="00373589"/>
    <w:rsid w:val="00373CEF"/>
    <w:rsid w:val="00387338"/>
    <w:rsid w:val="00390DD8"/>
    <w:rsid w:val="0039747F"/>
    <w:rsid w:val="00397D5E"/>
    <w:rsid w:val="003A313C"/>
    <w:rsid w:val="003A3A4B"/>
    <w:rsid w:val="003B639F"/>
    <w:rsid w:val="003B70AB"/>
    <w:rsid w:val="003C5809"/>
    <w:rsid w:val="003D307B"/>
    <w:rsid w:val="003D4310"/>
    <w:rsid w:val="003D449C"/>
    <w:rsid w:val="003E315C"/>
    <w:rsid w:val="003E65EA"/>
    <w:rsid w:val="00402D48"/>
    <w:rsid w:val="004039BD"/>
    <w:rsid w:val="0040665A"/>
    <w:rsid w:val="00424775"/>
    <w:rsid w:val="00430D84"/>
    <w:rsid w:val="00450E93"/>
    <w:rsid w:val="00456AFA"/>
    <w:rsid w:val="00456BCB"/>
    <w:rsid w:val="0046044C"/>
    <w:rsid w:val="00463865"/>
    <w:rsid w:val="00473734"/>
    <w:rsid w:val="00477A77"/>
    <w:rsid w:val="00480155"/>
    <w:rsid w:val="00485E66"/>
    <w:rsid w:val="00490DBA"/>
    <w:rsid w:val="004A7E07"/>
    <w:rsid w:val="004B3D5A"/>
    <w:rsid w:val="004C5097"/>
    <w:rsid w:val="004E20E5"/>
    <w:rsid w:val="004E5DF1"/>
    <w:rsid w:val="004E69D9"/>
    <w:rsid w:val="004F398C"/>
    <w:rsid w:val="004F5969"/>
    <w:rsid w:val="005075E1"/>
    <w:rsid w:val="005149A7"/>
    <w:rsid w:val="005516E2"/>
    <w:rsid w:val="00554634"/>
    <w:rsid w:val="00560CE0"/>
    <w:rsid w:val="00560E3D"/>
    <w:rsid w:val="0056457A"/>
    <w:rsid w:val="005725B6"/>
    <w:rsid w:val="0059061A"/>
    <w:rsid w:val="0059491C"/>
    <w:rsid w:val="005A42D6"/>
    <w:rsid w:val="005B0C86"/>
    <w:rsid w:val="005C1FB8"/>
    <w:rsid w:val="005C2636"/>
    <w:rsid w:val="005D5B92"/>
    <w:rsid w:val="005D7543"/>
    <w:rsid w:val="005E2055"/>
    <w:rsid w:val="005E6B5A"/>
    <w:rsid w:val="005F1750"/>
    <w:rsid w:val="00600472"/>
    <w:rsid w:val="00600A6E"/>
    <w:rsid w:val="00620095"/>
    <w:rsid w:val="00626512"/>
    <w:rsid w:val="00631797"/>
    <w:rsid w:val="0063348B"/>
    <w:rsid w:val="0063395D"/>
    <w:rsid w:val="00642EBF"/>
    <w:rsid w:val="00661489"/>
    <w:rsid w:val="006751DD"/>
    <w:rsid w:val="00677593"/>
    <w:rsid w:val="0068355B"/>
    <w:rsid w:val="00683D02"/>
    <w:rsid w:val="006935C1"/>
    <w:rsid w:val="00693817"/>
    <w:rsid w:val="006948FC"/>
    <w:rsid w:val="006A07A9"/>
    <w:rsid w:val="006A4629"/>
    <w:rsid w:val="006B1618"/>
    <w:rsid w:val="006D22F3"/>
    <w:rsid w:val="006E0EFB"/>
    <w:rsid w:val="006F6E3C"/>
    <w:rsid w:val="00700EF6"/>
    <w:rsid w:val="0070194C"/>
    <w:rsid w:val="00722D3D"/>
    <w:rsid w:val="007249CA"/>
    <w:rsid w:val="0072534A"/>
    <w:rsid w:val="00726AF3"/>
    <w:rsid w:val="00733282"/>
    <w:rsid w:val="007343AB"/>
    <w:rsid w:val="00742182"/>
    <w:rsid w:val="00762D85"/>
    <w:rsid w:val="00766254"/>
    <w:rsid w:val="00785A77"/>
    <w:rsid w:val="00794F34"/>
    <w:rsid w:val="007A0AFA"/>
    <w:rsid w:val="007A1DD4"/>
    <w:rsid w:val="007B75E3"/>
    <w:rsid w:val="007F30C8"/>
    <w:rsid w:val="007F4CC2"/>
    <w:rsid w:val="007F5EE3"/>
    <w:rsid w:val="00800116"/>
    <w:rsid w:val="00805225"/>
    <w:rsid w:val="0081568B"/>
    <w:rsid w:val="00821079"/>
    <w:rsid w:val="008210C2"/>
    <w:rsid w:val="00823194"/>
    <w:rsid w:val="008368C3"/>
    <w:rsid w:val="00860CF7"/>
    <w:rsid w:val="008618F6"/>
    <w:rsid w:val="00877C8B"/>
    <w:rsid w:val="0088010D"/>
    <w:rsid w:val="008907B9"/>
    <w:rsid w:val="00897CE1"/>
    <w:rsid w:val="00897ED4"/>
    <w:rsid w:val="008A0DC6"/>
    <w:rsid w:val="008A2EC5"/>
    <w:rsid w:val="008A4ABF"/>
    <w:rsid w:val="008B2DFC"/>
    <w:rsid w:val="008B7DC3"/>
    <w:rsid w:val="008C6C40"/>
    <w:rsid w:val="008D3CD8"/>
    <w:rsid w:val="008E57C9"/>
    <w:rsid w:val="008F1A45"/>
    <w:rsid w:val="008F5CFE"/>
    <w:rsid w:val="00912B13"/>
    <w:rsid w:val="00921560"/>
    <w:rsid w:val="00924C7F"/>
    <w:rsid w:val="00931C37"/>
    <w:rsid w:val="00934BC1"/>
    <w:rsid w:val="00942D5C"/>
    <w:rsid w:val="009433A7"/>
    <w:rsid w:val="00953527"/>
    <w:rsid w:val="0095765A"/>
    <w:rsid w:val="00966075"/>
    <w:rsid w:val="00983C7F"/>
    <w:rsid w:val="009A7C55"/>
    <w:rsid w:val="009C11B2"/>
    <w:rsid w:val="009C4971"/>
    <w:rsid w:val="00A0604B"/>
    <w:rsid w:val="00A11B3D"/>
    <w:rsid w:val="00A31442"/>
    <w:rsid w:val="00A45C3D"/>
    <w:rsid w:val="00A66F81"/>
    <w:rsid w:val="00A71E7E"/>
    <w:rsid w:val="00A80614"/>
    <w:rsid w:val="00A96EA2"/>
    <w:rsid w:val="00AA5F35"/>
    <w:rsid w:val="00AA63A1"/>
    <w:rsid w:val="00AA663E"/>
    <w:rsid w:val="00AB096A"/>
    <w:rsid w:val="00AB2B8A"/>
    <w:rsid w:val="00AC48D3"/>
    <w:rsid w:val="00AD22A0"/>
    <w:rsid w:val="00B00692"/>
    <w:rsid w:val="00B07FCE"/>
    <w:rsid w:val="00B1339E"/>
    <w:rsid w:val="00B14C00"/>
    <w:rsid w:val="00B304EA"/>
    <w:rsid w:val="00B54AA6"/>
    <w:rsid w:val="00B55F8E"/>
    <w:rsid w:val="00B70CED"/>
    <w:rsid w:val="00B92780"/>
    <w:rsid w:val="00B93295"/>
    <w:rsid w:val="00B94065"/>
    <w:rsid w:val="00B94536"/>
    <w:rsid w:val="00BB7175"/>
    <w:rsid w:val="00BD01C2"/>
    <w:rsid w:val="00BD4865"/>
    <w:rsid w:val="00BE6C90"/>
    <w:rsid w:val="00BF199C"/>
    <w:rsid w:val="00BF1EC6"/>
    <w:rsid w:val="00BF3D72"/>
    <w:rsid w:val="00C307B2"/>
    <w:rsid w:val="00C34227"/>
    <w:rsid w:val="00C35D81"/>
    <w:rsid w:val="00C40D45"/>
    <w:rsid w:val="00C6099A"/>
    <w:rsid w:val="00C60D7E"/>
    <w:rsid w:val="00CB1446"/>
    <w:rsid w:val="00CB2867"/>
    <w:rsid w:val="00CC5283"/>
    <w:rsid w:val="00CF5E2E"/>
    <w:rsid w:val="00D03AFE"/>
    <w:rsid w:val="00D03B6E"/>
    <w:rsid w:val="00D27C4E"/>
    <w:rsid w:val="00D34C7C"/>
    <w:rsid w:val="00D35597"/>
    <w:rsid w:val="00D37DCB"/>
    <w:rsid w:val="00D445B4"/>
    <w:rsid w:val="00D511AD"/>
    <w:rsid w:val="00D628AB"/>
    <w:rsid w:val="00D64507"/>
    <w:rsid w:val="00D71669"/>
    <w:rsid w:val="00D727B1"/>
    <w:rsid w:val="00D95DA6"/>
    <w:rsid w:val="00DC5D28"/>
    <w:rsid w:val="00DC7942"/>
    <w:rsid w:val="00DC7D5A"/>
    <w:rsid w:val="00DD244D"/>
    <w:rsid w:val="00DE29DC"/>
    <w:rsid w:val="00DE617E"/>
    <w:rsid w:val="00DE6850"/>
    <w:rsid w:val="00DF67B7"/>
    <w:rsid w:val="00E120F4"/>
    <w:rsid w:val="00E4071E"/>
    <w:rsid w:val="00E42C4C"/>
    <w:rsid w:val="00E43936"/>
    <w:rsid w:val="00E43CBC"/>
    <w:rsid w:val="00E478EA"/>
    <w:rsid w:val="00E50914"/>
    <w:rsid w:val="00E548A1"/>
    <w:rsid w:val="00E55E7A"/>
    <w:rsid w:val="00E65028"/>
    <w:rsid w:val="00E700CE"/>
    <w:rsid w:val="00EA7A98"/>
    <w:rsid w:val="00EB0C2F"/>
    <w:rsid w:val="00EB0ED4"/>
    <w:rsid w:val="00EB30E3"/>
    <w:rsid w:val="00ED3EA9"/>
    <w:rsid w:val="00EE357A"/>
    <w:rsid w:val="00EE6A0E"/>
    <w:rsid w:val="00EE7D83"/>
    <w:rsid w:val="00EF1A89"/>
    <w:rsid w:val="00EF68F5"/>
    <w:rsid w:val="00F069A4"/>
    <w:rsid w:val="00F34761"/>
    <w:rsid w:val="00F606B8"/>
    <w:rsid w:val="00F632A1"/>
    <w:rsid w:val="00F8431B"/>
    <w:rsid w:val="00F879EA"/>
    <w:rsid w:val="00F91BB6"/>
    <w:rsid w:val="00FA5316"/>
    <w:rsid w:val="00FA6CE7"/>
    <w:rsid w:val="00FB5CB5"/>
    <w:rsid w:val="00FC7239"/>
    <w:rsid w:val="00FE1863"/>
    <w:rsid w:val="00FE41CB"/>
    <w:rsid w:val="00FF0FBE"/>
    <w:rsid w:val="00FF1B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o:shapelayout v:ext="edit">
      <o:idmap v:ext="edit" data="2"/>
    </o:shapelayout>
  </w:shapeDefaults>
  <w:decimalSymbol w:val=","/>
  <w:listSeparator w:val=";"/>
  <w14:docId w14:val="5BB64B90"/>
  <w15:chartTrackingRefBased/>
  <w15:docId w15:val="{9720D1B6-E315-4CC8-9D57-0AAE20AB588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uiPriority="99" w:qFormat="1"/>
    <w:lsdException w:name="Subtitle" w:qFormat="1"/>
    <w:lsdException w:name="Body Text 2"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CA2"/>
    <w:rPr>
      <w:sz w:val="24"/>
      <w:szCs w:val="24"/>
    </w:rPr>
  </w:style>
  <w:style w:type="paragraph" w:styleId="Ttulo1">
    <w:name w:val="heading 1"/>
    <w:basedOn w:val="Normal"/>
    <w:next w:val="Normal"/>
    <w:link w:val="Ttulo1Char"/>
    <w:qFormat/>
    <w:rsid w:val="00F632A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semiHidden/>
    <w:unhideWhenUsed/>
    <w:qFormat/>
    <w:rsid w:val="00C307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semiHidden/>
    <w:unhideWhenUsed/>
    <w:qFormat/>
    <w:rsid w:val="00C307B2"/>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qFormat/>
    <w:rsid w:val="00BB7175"/>
    <w:pPr>
      <w:keepNext/>
      <w:widowControl w:val="0"/>
      <w:jc w:val="both"/>
      <w:outlineLvl w:val="4"/>
    </w:pPr>
    <w:rPr>
      <w:rFonts w:ascii="Arial" w:hAnsi="Arial"/>
      <w:b/>
      <w:snapToGrid w:val="0"/>
      <w:sz w:val="22"/>
      <w:szCs w:val="20"/>
    </w:rPr>
  </w:style>
  <w:style w:type="paragraph" w:styleId="Ttulo6">
    <w:name w:val="heading 6"/>
    <w:basedOn w:val="Normal"/>
    <w:next w:val="Normal"/>
    <w:qFormat/>
    <w:rsid w:val="00BB7175"/>
    <w:pPr>
      <w:keepNext/>
      <w:ind w:left="709" w:hanging="709"/>
      <w:outlineLvl w:val="5"/>
    </w:pPr>
    <w:rPr>
      <w:rFonts w:ascii="Arial" w:hAnsi="Arial"/>
      <w:b/>
      <w:snapToGrid w:val="0"/>
      <w:sz w:val="22"/>
      <w:szCs w:val="20"/>
    </w:rPr>
  </w:style>
  <w:style w:type="paragraph" w:styleId="Ttulo7">
    <w:name w:val="heading 7"/>
    <w:basedOn w:val="Normal"/>
    <w:next w:val="Normal"/>
    <w:qFormat/>
    <w:rsid w:val="00BB7175"/>
    <w:pPr>
      <w:keepNext/>
      <w:widowControl w:val="0"/>
      <w:jc w:val="both"/>
      <w:outlineLvl w:val="6"/>
    </w:pPr>
    <w:rPr>
      <w:rFonts w:ascii="Univers" w:hAnsi="Univers"/>
      <w:b/>
      <w:i/>
      <w:snapToGrid w:val="0"/>
      <w:szCs w:val="20"/>
    </w:rPr>
  </w:style>
  <w:style w:type="paragraph" w:styleId="Ttulo9">
    <w:name w:val="heading 9"/>
    <w:basedOn w:val="Normal"/>
    <w:next w:val="Normal"/>
    <w:qFormat/>
    <w:rsid w:val="00BB7175"/>
    <w:pPr>
      <w:keepNext/>
      <w:outlineLvl w:val="8"/>
    </w:pPr>
    <w:rPr>
      <w:rFonts w:ascii="Univers" w:hAnsi="Univers"/>
      <w:b/>
      <w:i/>
      <w:snapToGrid w:val="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726A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726AF3"/>
    <w:pPr>
      <w:tabs>
        <w:tab w:val="center" w:pos="4252"/>
        <w:tab w:val="right" w:pos="8504"/>
      </w:tabs>
    </w:pPr>
  </w:style>
  <w:style w:type="paragraph" w:styleId="Rodap">
    <w:name w:val="footer"/>
    <w:basedOn w:val="Normal"/>
    <w:rsid w:val="00726AF3"/>
    <w:pPr>
      <w:tabs>
        <w:tab w:val="center" w:pos="4252"/>
        <w:tab w:val="right" w:pos="8504"/>
      </w:tabs>
    </w:pPr>
  </w:style>
  <w:style w:type="character" w:styleId="Nmerodepgina">
    <w:name w:val="page number"/>
    <w:basedOn w:val="Fontepargpadro"/>
    <w:rsid w:val="00BD01C2"/>
  </w:style>
  <w:style w:type="paragraph" w:styleId="Recuodecorpodetexto2">
    <w:name w:val="Body Text Indent 2"/>
    <w:basedOn w:val="Normal"/>
    <w:rsid w:val="00BB7175"/>
    <w:pPr>
      <w:ind w:left="709" w:hanging="709"/>
      <w:jc w:val="both"/>
    </w:pPr>
    <w:rPr>
      <w:rFonts w:ascii="Switzerland" w:hAnsi="Switzerland"/>
      <w:sz w:val="22"/>
      <w:szCs w:val="20"/>
    </w:rPr>
  </w:style>
  <w:style w:type="paragraph" w:styleId="Corpodetexto">
    <w:name w:val="Body Text"/>
    <w:basedOn w:val="Normal"/>
    <w:link w:val="CorpodetextoChar"/>
    <w:rsid w:val="00897ED4"/>
    <w:pPr>
      <w:jc w:val="both"/>
    </w:pPr>
  </w:style>
  <w:style w:type="paragraph" w:styleId="Recuodecorpodetexto">
    <w:name w:val="Body Text Indent"/>
    <w:basedOn w:val="Normal"/>
    <w:rsid w:val="00BF1EC6"/>
    <w:pPr>
      <w:tabs>
        <w:tab w:val="left" w:pos="1701"/>
      </w:tabs>
      <w:spacing w:line="360" w:lineRule="auto"/>
      <w:ind w:left="1134" w:hanging="1134"/>
      <w:jc w:val="both"/>
    </w:pPr>
    <w:rPr>
      <w:rFonts w:ascii="Arial" w:hAnsi="Arial"/>
      <w:sz w:val="20"/>
      <w:szCs w:val="20"/>
    </w:rPr>
  </w:style>
  <w:style w:type="paragraph" w:customStyle="1" w:styleId="Default">
    <w:name w:val="Default"/>
    <w:rsid w:val="00BF1EC6"/>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BF1EC6"/>
    <w:pPr>
      <w:ind w:left="708"/>
    </w:pPr>
  </w:style>
  <w:style w:type="paragraph" w:styleId="Subttulo">
    <w:name w:val="Subtitle"/>
    <w:basedOn w:val="Normal"/>
    <w:next w:val="Normal"/>
    <w:link w:val="SubttuloChar"/>
    <w:qFormat/>
    <w:rsid w:val="00821079"/>
    <w:pPr>
      <w:spacing w:after="60"/>
      <w:jc w:val="center"/>
      <w:outlineLvl w:val="1"/>
    </w:pPr>
    <w:rPr>
      <w:rFonts w:ascii="Cambria" w:hAnsi="Cambria"/>
    </w:rPr>
  </w:style>
  <w:style w:type="character" w:customStyle="1" w:styleId="SubttuloChar">
    <w:name w:val="Subtítulo Char"/>
    <w:link w:val="Subttulo"/>
    <w:locked/>
    <w:rsid w:val="00821079"/>
    <w:rPr>
      <w:rFonts w:ascii="Cambria" w:hAnsi="Cambria"/>
      <w:sz w:val="24"/>
      <w:szCs w:val="24"/>
      <w:lang w:val="pt-BR" w:eastAsia="pt-BR" w:bidi="ar-SA"/>
    </w:rPr>
  </w:style>
  <w:style w:type="paragraph" w:styleId="Textodebalo">
    <w:name w:val="Balloon Text"/>
    <w:basedOn w:val="Normal"/>
    <w:link w:val="TextodebaloChar"/>
    <w:rsid w:val="0070194C"/>
    <w:rPr>
      <w:rFonts w:ascii="Tahoma" w:hAnsi="Tahoma" w:cs="Tahoma"/>
      <w:sz w:val="16"/>
      <w:szCs w:val="16"/>
    </w:rPr>
  </w:style>
  <w:style w:type="character" w:customStyle="1" w:styleId="TextodebaloChar">
    <w:name w:val="Texto de balão Char"/>
    <w:link w:val="Textodebalo"/>
    <w:rsid w:val="0070194C"/>
    <w:rPr>
      <w:rFonts w:ascii="Tahoma" w:hAnsi="Tahoma" w:cs="Tahoma"/>
      <w:sz w:val="16"/>
      <w:szCs w:val="16"/>
    </w:rPr>
  </w:style>
  <w:style w:type="character" w:customStyle="1" w:styleId="apple-converted-space">
    <w:name w:val="apple-converted-space"/>
    <w:rsid w:val="005D5B92"/>
  </w:style>
  <w:style w:type="paragraph" w:customStyle="1" w:styleId="Nivel01Titulo">
    <w:name w:val="Nivel_01_Titulo"/>
    <w:basedOn w:val="Ttulo1"/>
    <w:next w:val="Normal"/>
    <w:link w:val="Nivel01TituloChar"/>
    <w:qFormat/>
    <w:rsid w:val="00F632A1"/>
    <w:pPr>
      <w:numPr>
        <w:numId w:val="17"/>
      </w:numPr>
      <w:tabs>
        <w:tab w:val="num" w:pos="360"/>
        <w:tab w:val="left" w:pos="567"/>
      </w:tabs>
      <w:jc w:val="both"/>
    </w:pPr>
    <w:rPr>
      <w:rFonts w:ascii="Arial" w:hAnsi="Arial" w:cs="Times New Roman"/>
      <w:b/>
      <w:bCs/>
      <w:sz w:val="20"/>
      <w:szCs w:val="20"/>
    </w:rPr>
  </w:style>
  <w:style w:type="character" w:customStyle="1" w:styleId="Ttulo1Char">
    <w:name w:val="Título 1 Char"/>
    <w:basedOn w:val="Fontepargpadro"/>
    <w:link w:val="Ttulo1"/>
    <w:rsid w:val="00F632A1"/>
    <w:rPr>
      <w:rFonts w:asciiTheme="majorHAnsi" w:eastAsiaTheme="majorEastAsia" w:hAnsiTheme="majorHAnsi" w:cstheme="majorBidi"/>
      <w:color w:val="2F5496" w:themeColor="accent1" w:themeShade="BF"/>
      <w:sz w:val="32"/>
      <w:szCs w:val="32"/>
    </w:rPr>
  </w:style>
  <w:style w:type="character" w:customStyle="1" w:styleId="Nivel01TituloChar">
    <w:name w:val="Nivel_01_Titulo Char"/>
    <w:basedOn w:val="Ttulo1Char"/>
    <w:link w:val="Nivel01Titulo"/>
    <w:rsid w:val="006F6E3C"/>
    <w:rPr>
      <w:rFonts w:ascii="Arial" w:eastAsiaTheme="majorEastAsia" w:hAnsi="Arial" w:cstheme="majorBidi"/>
      <w:b/>
      <w:bCs/>
      <w:color w:val="2F5496" w:themeColor="accent1" w:themeShade="BF"/>
      <w:sz w:val="32"/>
      <w:szCs w:val="32"/>
    </w:rPr>
  </w:style>
  <w:style w:type="character" w:customStyle="1" w:styleId="Ttulo2Char">
    <w:name w:val="Título 2 Char"/>
    <w:basedOn w:val="Fontepargpadro"/>
    <w:link w:val="Ttulo2"/>
    <w:semiHidden/>
    <w:rsid w:val="00C307B2"/>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semiHidden/>
    <w:rsid w:val="00C307B2"/>
    <w:rPr>
      <w:rFonts w:asciiTheme="majorHAnsi" w:eastAsiaTheme="majorEastAsia" w:hAnsiTheme="majorHAnsi" w:cstheme="majorBidi"/>
      <w:color w:val="1F3763" w:themeColor="accent1" w:themeShade="7F"/>
      <w:sz w:val="24"/>
      <w:szCs w:val="24"/>
    </w:rPr>
  </w:style>
  <w:style w:type="paragraph" w:styleId="Ttulo">
    <w:name w:val="Title"/>
    <w:basedOn w:val="Normal"/>
    <w:link w:val="TtuloChar"/>
    <w:uiPriority w:val="99"/>
    <w:qFormat/>
    <w:rsid w:val="00C307B2"/>
    <w:pPr>
      <w:jc w:val="center"/>
    </w:pPr>
    <w:rPr>
      <w:b/>
      <w:bCs/>
      <w:sz w:val="20"/>
      <w:szCs w:val="20"/>
      <w:lang w:val="x-none" w:eastAsia="x-none"/>
    </w:rPr>
  </w:style>
  <w:style w:type="character" w:customStyle="1" w:styleId="TtuloChar">
    <w:name w:val="Título Char"/>
    <w:basedOn w:val="Fontepargpadro"/>
    <w:link w:val="Ttulo"/>
    <w:uiPriority w:val="99"/>
    <w:rsid w:val="00C307B2"/>
    <w:rPr>
      <w:b/>
      <w:bCs/>
      <w:lang w:val="x-none" w:eastAsia="x-none"/>
    </w:rPr>
  </w:style>
  <w:style w:type="character" w:styleId="Refdecomentrio">
    <w:name w:val="annotation reference"/>
    <w:basedOn w:val="Fontepargpadro"/>
    <w:rsid w:val="00C307B2"/>
    <w:rPr>
      <w:sz w:val="16"/>
      <w:szCs w:val="16"/>
    </w:rPr>
  </w:style>
  <w:style w:type="paragraph" w:styleId="Textodecomentrio">
    <w:name w:val="annotation text"/>
    <w:basedOn w:val="Normal"/>
    <w:link w:val="TextodecomentrioChar"/>
    <w:rsid w:val="00C307B2"/>
    <w:rPr>
      <w:sz w:val="20"/>
      <w:szCs w:val="20"/>
    </w:rPr>
  </w:style>
  <w:style w:type="character" w:customStyle="1" w:styleId="TextodecomentrioChar">
    <w:name w:val="Texto de comentário Char"/>
    <w:basedOn w:val="Fontepargpadro"/>
    <w:link w:val="Textodecomentrio"/>
    <w:rsid w:val="00C307B2"/>
  </w:style>
  <w:style w:type="character" w:styleId="Forte">
    <w:name w:val="Strong"/>
    <w:basedOn w:val="Fontepargpadro"/>
    <w:uiPriority w:val="22"/>
    <w:qFormat/>
    <w:rsid w:val="00C307B2"/>
    <w:rPr>
      <w:b/>
      <w:bCs/>
    </w:rPr>
  </w:style>
  <w:style w:type="character" w:customStyle="1" w:styleId="CabealhoChar">
    <w:name w:val="Cabeçalho Char"/>
    <w:basedOn w:val="Fontepargpadro"/>
    <w:link w:val="Cabealho"/>
    <w:uiPriority w:val="99"/>
    <w:rsid w:val="00733282"/>
    <w:rPr>
      <w:sz w:val="24"/>
      <w:szCs w:val="24"/>
    </w:rPr>
  </w:style>
  <w:style w:type="character" w:styleId="Hyperlink">
    <w:name w:val="Hyperlink"/>
    <w:rsid w:val="00215CA2"/>
    <w:rPr>
      <w:color w:val="0000FF"/>
      <w:u w:val="single"/>
    </w:rPr>
  </w:style>
  <w:style w:type="paragraph" w:customStyle="1" w:styleId="Nivel2">
    <w:name w:val="Nivel 2"/>
    <w:basedOn w:val="Normal"/>
    <w:link w:val="Nivel2Char"/>
    <w:autoRedefine/>
    <w:qFormat/>
    <w:rsid w:val="00215CA2"/>
    <w:pPr>
      <w:spacing w:before="120" w:after="120" w:line="276" w:lineRule="auto"/>
      <w:ind w:firstLine="1134"/>
      <w:jc w:val="both"/>
    </w:pPr>
    <w:rPr>
      <w:rFonts w:eastAsia="Arial"/>
      <w:iCs/>
    </w:rPr>
  </w:style>
  <w:style w:type="character" w:customStyle="1" w:styleId="Nivel2Char">
    <w:name w:val="Nivel 2 Char"/>
    <w:link w:val="Nivel2"/>
    <w:locked/>
    <w:rsid w:val="00215CA2"/>
    <w:rPr>
      <w:rFonts w:eastAsia="Arial"/>
      <w:iCs/>
      <w:sz w:val="24"/>
      <w:szCs w:val="24"/>
    </w:rPr>
  </w:style>
  <w:style w:type="character" w:customStyle="1" w:styleId="normaltextrun">
    <w:name w:val="normaltextrun"/>
    <w:rsid w:val="00215CA2"/>
  </w:style>
  <w:style w:type="paragraph" w:customStyle="1" w:styleId="Nivel3">
    <w:name w:val="Nivel 3"/>
    <w:basedOn w:val="Normal"/>
    <w:link w:val="Nivel3Char"/>
    <w:autoRedefine/>
    <w:uiPriority w:val="99"/>
    <w:qFormat/>
    <w:rsid w:val="00215CA2"/>
    <w:pPr>
      <w:numPr>
        <w:ilvl w:val="2"/>
        <w:numId w:val="22"/>
      </w:numPr>
      <w:spacing w:before="120" w:after="120" w:line="276" w:lineRule="auto"/>
      <w:ind w:left="284" w:firstLine="0"/>
      <w:jc w:val="both"/>
    </w:pPr>
    <w:rPr>
      <w:rFonts w:ascii="Arial" w:eastAsia="MS Mincho" w:hAnsi="Arial" w:cs="Arial"/>
      <w:sz w:val="20"/>
      <w:szCs w:val="20"/>
    </w:rPr>
  </w:style>
  <w:style w:type="paragraph" w:customStyle="1" w:styleId="Nivel4">
    <w:name w:val="Nivel 4"/>
    <w:basedOn w:val="Nivel3"/>
    <w:uiPriority w:val="99"/>
    <w:qFormat/>
    <w:rsid w:val="00215CA2"/>
    <w:pPr>
      <w:numPr>
        <w:ilvl w:val="3"/>
      </w:numPr>
      <w:tabs>
        <w:tab w:val="num" w:pos="3240"/>
      </w:tabs>
      <w:ind w:left="2940" w:hanging="360"/>
    </w:pPr>
  </w:style>
  <w:style w:type="paragraph" w:customStyle="1" w:styleId="Nivel5">
    <w:name w:val="Nivel 5"/>
    <w:basedOn w:val="Nivel4"/>
    <w:autoRedefine/>
    <w:uiPriority w:val="99"/>
    <w:qFormat/>
    <w:rsid w:val="00215CA2"/>
    <w:pPr>
      <w:numPr>
        <w:ilvl w:val="4"/>
      </w:numPr>
      <w:tabs>
        <w:tab w:val="num" w:pos="3960"/>
      </w:tabs>
      <w:ind w:left="851" w:firstLine="0"/>
    </w:pPr>
  </w:style>
  <w:style w:type="character" w:customStyle="1" w:styleId="Nivel3Char">
    <w:name w:val="Nivel 3 Char"/>
    <w:link w:val="Nivel3"/>
    <w:uiPriority w:val="99"/>
    <w:rsid w:val="00215CA2"/>
    <w:rPr>
      <w:rFonts w:ascii="Arial" w:eastAsia="MS Mincho" w:hAnsi="Arial" w:cs="Arial"/>
    </w:rPr>
  </w:style>
  <w:style w:type="paragraph" w:customStyle="1" w:styleId="western">
    <w:name w:val="western"/>
    <w:basedOn w:val="Normal"/>
    <w:rsid w:val="00642EBF"/>
    <w:pPr>
      <w:spacing w:before="100" w:beforeAutospacing="1" w:after="119"/>
    </w:pPr>
  </w:style>
  <w:style w:type="paragraph" w:styleId="Corpodetexto2">
    <w:name w:val="Body Text 2"/>
    <w:basedOn w:val="Normal"/>
    <w:link w:val="Corpodetexto2Char"/>
    <w:uiPriority w:val="99"/>
    <w:rsid w:val="00D35597"/>
    <w:pPr>
      <w:spacing w:after="120" w:line="480" w:lineRule="auto"/>
    </w:pPr>
    <w:rPr>
      <w:rFonts w:ascii="Tahoma" w:hAnsi="Tahoma"/>
    </w:rPr>
  </w:style>
  <w:style w:type="character" w:customStyle="1" w:styleId="Corpodetexto2Char">
    <w:name w:val="Corpo de texto 2 Char"/>
    <w:basedOn w:val="Fontepargpadro"/>
    <w:link w:val="Corpodetexto2"/>
    <w:uiPriority w:val="99"/>
    <w:rsid w:val="00D35597"/>
    <w:rPr>
      <w:rFonts w:ascii="Tahoma" w:hAnsi="Tahoma"/>
      <w:sz w:val="24"/>
      <w:szCs w:val="24"/>
    </w:rPr>
  </w:style>
  <w:style w:type="character" w:customStyle="1" w:styleId="CorpodetextoChar">
    <w:name w:val="Corpo de texto Char"/>
    <w:basedOn w:val="Fontepargpadro"/>
    <w:link w:val="Corpodetexto"/>
    <w:rsid w:val="001446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5698">
      <w:bodyDiv w:val="1"/>
      <w:marLeft w:val="0"/>
      <w:marRight w:val="0"/>
      <w:marTop w:val="0"/>
      <w:marBottom w:val="0"/>
      <w:divBdr>
        <w:top w:val="none" w:sz="0" w:space="0" w:color="auto"/>
        <w:left w:val="none" w:sz="0" w:space="0" w:color="auto"/>
        <w:bottom w:val="none" w:sz="0" w:space="0" w:color="auto"/>
        <w:right w:val="none" w:sz="0" w:space="0" w:color="auto"/>
      </w:divBdr>
    </w:div>
    <w:div w:id="184101117">
      <w:bodyDiv w:val="1"/>
      <w:marLeft w:val="0"/>
      <w:marRight w:val="0"/>
      <w:marTop w:val="0"/>
      <w:marBottom w:val="0"/>
      <w:divBdr>
        <w:top w:val="none" w:sz="0" w:space="0" w:color="auto"/>
        <w:left w:val="none" w:sz="0" w:space="0" w:color="auto"/>
        <w:bottom w:val="none" w:sz="0" w:space="0" w:color="auto"/>
        <w:right w:val="none" w:sz="0" w:space="0" w:color="auto"/>
      </w:divBdr>
      <w:divsChild>
        <w:div w:id="516777035">
          <w:marLeft w:val="0"/>
          <w:marRight w:val="0"/>
          <w:marTop w:val="0"/>
          <w:marBottom w:val="0"/>
          <w:divBdr>
            <w:top w:val="none" w:sz="0" w:space="0" w:color="auto"/>
            <w:left w:val="none" w:sz="0" w:space="0" w:color="auto"/>
            <w:bottom w:val="none" w:sz="0" w:space="0" w:color="auto"/>
            <w:right w:val="none" w:sz="0" w:space="0" w:color="auto"/>
          </w:divBdr>
        </w:div>
        <w:div w:id="808785107">
          <w:marLeft w:val="0"/>
          <w:marRight w:val="0"/>
          <w:marTop w:val="0"/>
          <w:marBottom w:val="0"/>
          <w:divBdr>
            <w:top w:val="none" w:sz="0" w:space="0" w:color="auto"/>
            <w:left w:val="none" w:sz="0" w:space="0" w:color="auto"/>
            <w:bottom w:val="none" w:sz="0" w:space="0" w:color="auto"/>
            <w:right w:val="none" w:sz="0" w:space="0" w:color="auto"/>
          </w:divBdr>
        </w:div>
        <w:div w:id="1327248338">
          <w:marLeft w:val="0"/>
          <w:marRight w:val="0"/>
          <w:marTop w:val="0"/>
          <w:marBottom w:val="0"/>
          <w:divBdr>
            <w:top w:val="none" w:sz="0" w:space="0" w:color="auto"/>
            <w:left w:val="none" w:sz="0" w:space="0" w:color="auto"/>
            <w:bottom w:val="none" w:sz="0" w:space="0" w:color="auto"/>
            <w:right w:val="none" w:sz="0" w:space="0" w:color="auto"/>
          </w:divBdr>
        </w:div>
        <w:div w:id="2133592522">
          <w:marLeft w:val="0"/>
          <w:marRight w:val="0"/>
          <w:marTop w:val="0"/>
          <w:marBottom w:val="0"/>
          <w:divBdr>
            <w:top w:val="none" w:sz="0" w:space="0" w:color="auto"/>
            <w:left w:val="none" w:sz="0" w:space="0" w:color="auto"/>
            <w:bottom w:val="none" w:sz="0" w:space="0" w:color="auto"/>
            <w:right w:val="none" w:sz="0" w:space="0" w:color="auto"/>
          </w:divBdr>
        </w:div>
      </w:divsChild>
    </w:div>
    <w:div w:id="219292631">
      <w:bodyDiv w:val="1"/>
      <w:marLeft w:val="0"/>
      <w:marRight w:val="0"/>
      <w:marTop w:val="0"/>
      <w:marBottom w:val="0"/>
      <w:divBdr>
        <w:top w:val="none" w:sz="0" w:space="0" w:color="auto"/>
        <w:left w:val="none" w:sz="0" w:space="0" w:color="auto"/>
        <w:bottom w:val="none" w:sz="0" w:space="0" w:color="auto"/>
        <w:right w:val="none" w:sz="0" w:space="0" w:color="auto"/>
      </w:divBdr>
    </w:div>
    <w:div w:id="248733673">
      <w:bodyDiv w:val="1"/>
      <w:marLeft w:val="0"/>
      <w:marRight w:val="0"/>
      <w:marTop w:val="0"/>
      <w:marBottom w:val="0"/>
      <w:divBdr>
        <w:top w:val="none" w:sz="0" w:space="0" w:color="auto"/>
        <w:left w:val="none" w:sz="0" w:space="0" w:color="auto"/>
        <w:bottom w:val="none" w:sz="0" w:space="0" w:color="auto"/>
        <w:right w:val="none" w:sz="0" w:space="0" w:color="auto"/>
      </w:divBdr>
    </w:div>
    <w:div w:id="265357242">
      <w:bodyDiv w:val="1"/>
      <w:marLeft w:val="0"/>
      <w:marRight w:val="0"/>
      <w:marTop w:val="0"/>
      <w:marBottom w:val="0"/>
      <w:divBdr>
        <w:top w:val="none" w:sz="0" w:space="0" w:color="auto"/>
        <w:left w:val="none" w:sz="0" w:space="0" w:color="auto"/>
        <w:bottom w:val="none" w:sz="0" w:space="0" w:color="auto"/>
        <w:right w:val="none" w:sz="0" w:space="0" w:color="auto"/>
      </w:divBdr>
    </w:div>
    <w:div w:id="273680355">
      <w:bodyDiv w:val="1"/>
      <w:marLeft w:val="0"/>
      <w:marRight w:val="0"/>
      <w:marTop w:val="0"/>
      <w:marBottom w:val="0"/>
      <w:divBdr>
        <w:top w:val="none" w:sz="0" w:space="0" w:color="auto"/>
        <w:left w:val="none" w:sz="0" w:space="0" w:color="auto"/>
        <w:bottom w:val="none" w:sz="0" w:space="0" w:color="auto"/>
        <w:right w:val="none" w:sz="0" w:space="0" w:color="auto"/>
      </w:divBdr>
    </w:div>
    <w:div w:id="301423557">
      <w:bodyDiv w:val="1"/>
      <w:marLeft w:val="0"/>
      <w:marRight w:val="0"/>
      <w:marTop w:val="0"/>
      <w:marBottom w:val="0"/>
      <w:divBdr>
        <w:top w:val="none" w:sz="0" w:space="0" w:color="auto"/>
        <w:left w:val="none" w:sz="0" w:space="0" w:color="auto"/>
        <w:bottom w:val="none" w:sz="0" w:space="0" w:color="auto"/>
        <w:right w:val="none" w:sz="0" w:space="0" w:color="auto"/>
      </w:divBdr>
    </w:div>
    <w:div w:id="367532172">
      <w:bodyDiv w:val="1"/>
      <w:marLeft w:val="0"/>
      <w:marRight w:val="0"/>
      <w:marTop w:val="0"/>
      <w:marBottom w:val="0"/>
      <w:divBdr>
        <w:top w:val="none" w:sz="0" w:space="0" w:color="auto"/>
        <w:left w:val="none" w:sz="0" w:space="0" w:color="auto"/>
        <w:bottom w:val="none" w:sz="0" w:space="0" w:color="auto"/>
        <w:right w:val="none" w:sz="0" w:space="0" w:color="auto"/>
      </w:divBdr>
    </w:div>
    <w:div w:id="491919426">
      <w:bodyDiv w:val="1"/>
      <w:marLeft w:val="0"/>
      <w:marRight w:val="0"/>
      <w:marTop w:val="0"/>
      <w:marBottom w:val="0"/>
      <w:divBdr>
        <w:top w:val="none" w:sz="0" w:space="0" w:color="auto"/>
        <w:left w:val="none" w:sz="0" w:space="0" w:color="auto"/>
        <w:bottom w:val="none" w:sz="0" w:space="0" w:color="auto"/>
        <w:right w:val="none" w:sz="0" w:space="0" w:color="auto"/>
      </w:divBdr>
    </w:div>
    <w:div w:id="505049013">
      <w:bodyDiv w:val="1"/>
      <w:marLeft w:val="0"/>
      <w:marRight w:val="0"/>
      <w:marTop w:val="0"/>
      <w:marBottom w:val="0"/>
      <w:divBdr>
        <w:top w:val="none" w:sz="0" w:space="0" w:color="auto"/>
        <w:left w:val="none" w:sz="0" w:space="0" w:color="auto"/>
        <w:bottom w:val="none" w:sz="0" w:space="0" w:color="auto"/>
        <w:right w:val="none" w:sz="0" w:space="0" w:color="auto"/>
      </w:divBdr>
    </w:div>
    <w:div w:id="587226985">
      <w:bodyDiv w:val="1"/>
      <w:marLeft w:val="0"/>
      <w:marRight w:val="0"/>
      <w:marTop w:val="0"/>
      <w:marBottom w:val="0"/>
      <w:divBdr>
        <w:top w:val="none" w:sz="0" w:space="0" w:color="auto"/>
        <w:left w:val="none" w:sz="0" w:space="0" w:color="auto"/>
        <w:bottom w:val="none" w:sz="0" w:space="0" w:color="auto"/>
        <w:right w:val="none" w:sz="0" w:space="0" w:color="auto"/>
      </w:divBdr>
    </w:div>
    <w:div w:id="661858495">
      <w:bodyDiv w:val="1"/>
      <w:marLeft w:val="0"/>
      <w:marRight w:val="0"/>
      <w:marTop w:val="0"/>
      <w:marBottom w:val="0"/>
      <w:divBdr>
        <w:top w:val="none" w:sz="0" w:space="0" w:color="auto"/>
        <w:left w:val="none" w:sz="0" w:space="0" w:color="auto"/>
        <w:bottom w:val="none" w:sz="0" w:space="0" w:color="auto"/>
        <w:right w:val="none" w:sz="0" w:space="0" w:color="auto"/>
      </w:divBdr>
    </w:div>
    <w:div w:id="920338497">
      <w:bodyDiv w:val="1"/>
      <w:marLeft w:val="0"/>
      <w:marRight w:val="0"/>
      <w:marTop w:val="0"/>
      <w:marBottom w:val="0"/>
      <w:divBdr>
        <w:top w:val="none" w:sz="0" w:space="0" w:color="auto"/>
        <w:left w:val="none" w:sz="0" w:space="0" w:color="auto"/>
        <w:bottom w:val="none" w:sz="0" w:space="0" w:color="auto"/>
        <w:right w:val="none" w:sz="0" w:space="0" w:color="auto"/>
      </w:divBdr>
    </w:div>
    <w:div w:id="979767421">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141113654">
      <w:bodyDiv w:val="1"/>
      <w:marLeft w:val="0"/>
      <w:marRight w:val="0"/>
      <w:marTop w:val="0"/>
      <w:marBottom w:val="0"/>
      <w:divBdr>
        <w:top w:val="none" w:sz="0" w:space="0" w:color="auto"/>
        <w:left w:val="none" w:sz="0" w:space="0" w:color="auto"/>
        <w:bottom w:val="none" w:sz="0" w:space="0" w:color="auto"/>
        <w:right w:val="none" w:sz="0" w:space="0" w:color="auto"/>
      </w:divBdr>
    </w:div>
    <w:div w:id="1203666708">
      <w:bodyDiv w:val="1"/>
      <w:marLeft w:val="0"/>
      <w:marRight w:val="0"/>
      <w:marTop w:val="0"/>
      <w:marBottom w:val="0"/>
      <w:divBdr>
        <w:top w:val="none" w:sz="0" w:space="0" w:color="auto"/>
        <w:left w:val="none" w:sz="0" w:space="0" w:color="auto"/>
        <w:bottom w:val="none" w:sz="0" w:space="0" w:color="auto"/>
        <w:right w:val="none" w:sz="0" w:space="0" w:color="auto"/>
      </w:divBdr>
    </w:div>
    <w:div w:id="1263076410">
      <w:bodyDiv w:val="1"/>
      <w:marLeft w:val="0"/>
      <w:marRight w:val="0"/>
      <w:marTop w:val="0"/>
      <w:marBottom w:val="0"/>
      <w:divBdr>
        <w:top w:val="none" w:sz="0" w:space="0" w:color="auto"/>
        <w:left w:val="none" w:sz="0" w:space="0" w:color="auto"/>
        <w:bottom w:val="none" w:sz="0" w:space="0" w:color="auto"/>
        <w:right w:val="none" w:sz="0" w:space="0" w:color="auto"/>
      </w:divBdr>
    </w:div>
    <w:div w:id="1360205670">
      <w:bodyDiv w:val="1"/>
      <w:marLeft w:val="0"/>
      <w:marRight w:val="0"/>
      <w:marTop w:val="0"/>
      <w:marBottom w:val="0"/>
      <w:divBdr>
        <w:top w:val="none" w:sz="0" w:space="0" w:color="auto"/>
        <w:left w:val="none" w:sz="0" w:space="0" w:color="auto"/>
        <w:bottom w:val="none" w:sz="0" w:space="0" w:color="auto"/>
        <w:right w:val="none" w:sz="0" w:space="0" w:color="auto"/>
      </w:divBdr>
    </w:div>
    <w:div w:id="1367751571">
      <w:bodyDiv w:val="1"/>
      <w:marLeft w:val="0"/>
      <w:marRight w:val="0"/>
      <w:marTop w:val="0"/>
      <w:marBottom w:val="0"/>
      <w:divBdr>
        <w:top w:val="none" w:sz="0" w:space="0" w:color="auto"/>
        <w:left w:val="none" w:sz="0" w:space="0" w:color="auto"/>
        <w:bottom w:val="none" w:sz="0" w:space="0" w:color="auto"/>
        <w:right w:val="none" w:sz="0" w:space="0" w:color="auto"/>
      </w:divBdr>
    </w:div>
    <w:div w:id="1467160033">
      <w:bodyDiv w:val="1"/>
      <w:marLeft w:val="0"/>
      <w:marRight w:val="0"/>
      <w:marTop w:val="0"/>
      <w:marBottom w:val="0"/>
      <w:divBdr>
        <w:top w:val="none" w:sz="0" w:space="0" w:color="auto"/>
        <w:left w:val="none" w:sz="0" w:space="0" w:color="auto"/>
        <w:bottom w:val="none" w:sz="0" w:space="0" w:color="auto"/>
        <w:right w:val="none" w:sz="0" w:space="0" w:color="auto"/>
      </w:divBdr>
    </w:div>
    <w:div w:id="1519082256">
      <w:bodyDiv w:val="1"/>
      <w:marLeft w:val="0"/>
      <w:marRight w:val="0"/>
      <w:marTop w:val="0"/>
      <w:marBottom w:val="0"/>
      <w:divBdr>
        <w:top w:val="none" w:sz="0" w:space="0" w:color="auto"/>
        <w:left w:val="none" w:sz="0" w:space="0" w:color="auto"/>
        <w:bottom w:val="none" w:sz="0" w:space="0" w:color="auto"/>
        <w:right w:val="none" w:sz="0" w:space="0" w:color="auto"/>
      </w:divBdr>
    </w:div>
    <w:div w:id="1617835986">
      <w:bodyDiv w:val="1"/>
      <w:marLeft w:val="0"/>
      <w:marRight w:val="0"/>
      <w:marTop w:val="0"/>
      <w:marBottom w:val="0"/>
      <w:divBdr>
        <w:top w:val="none" w:sz="0" w:space="0" w:color="auto"/>
        <w:left w:val="none" w:sz="0" w:space="0" w:color="auto"/>
        <w:bottom w:val="none" w:sz="0" w:space="0" w:color="auto"/>
        <w:right w:val="none" w:sz="0" w:space="0" w:color="auto"/>
      </w:divBdr>
    </w:div>
    <w:div w:id="1638417686">
      <w:bodyDiv w:val="1"/>
      <w:marLeft w:val="0"/>
      <w:marRight w:val="0"/>
      <w:marTop w:val="0"/>
      <w:marBottom w:val="0"/>
      <w:divBdr>
        <w:top w:val="none" w:sz="0" w:space="0" w:color="auto"/>
        <w:left w:val="none" w:sz="0" w:space="0" w:color="auto"/>
        <w:bottom w:val="none" w:sz="0" w:space="0" w:color="auto"/>
        <w:right w:val="none" w:sz="0" w:space="0" w:color="auto"/>
      </w:divBdr>
    </w:div>
    <w:div w:id="1704789611">
      <w:bodyDiv w:val="1"/>
      <w:marLeft w:val="0"/>
      <w:marRight w:val="0"/>
      <w:marTop w:val="0"/>
      <w:marBottom w:val="0"/>
      <w:divBdr>
        <w:top w:val="none" w:sz="0" w:space="0" w:color="auto"/>
        <w:left w:val="none" w:sz="0" w:space="0" w:color="auto"/>
        <w:bottom w:val="none" w:sz="0" w:space="0" w:color="auto"/>
        <w:right w:val="none" w:sz="0" w:space="0" w:color="auto"/>
      </w:divBdr>
    </w:div>
    <w:div w:id="1729185379">
      <w:bodyDiv w:val="1"/>
      <w:marLeft w:val="0"/>
      <w:marRight w:val="0"/>
      <w:marTop w:val="0"/>
      <w:marBottom w:val="0"/>
      <w:divBdr>
        <w:top w:val="none" w:sz="0" w:space="0" w:color="auto"/>
        <w:left w:val="none" w:sz="0" w:space="0" w:color="auto"/>
        <w:bottom w:val="none" w:sz="0" w:space="0" w:color="auto"/>
        <w:right w:val="none" w:sz="0" w:space="0" w:color="auto"/>
      </w:divBdr>
    </w:div>
    <w:div w:id="1761871996">
      <w:bodyDiv w:val="1"/>
      <w:marLeft w:val="0"/>
      <w:marRight w:val="0"/>
      <w:marTop w:val="0"/>
      <w:marBottom w:val="0"/>
      <w:divBdr>
        <w:top w:val="none" w:sz="0" w:space="0" w:color="auto"/>
        <w:left w:val="none" w:sz="0" w:space="0" w:color="auto"/>
        <w:bottom w:val="none" w:sz="0" w:space="0" w:color="auto"/>
        <w:right w:val="none" w:sz="0" w:space="0" w:color="auto"/>
      </w:divBdr>
    </w:div>
    <w:div w:id="1799757625">
      <w:bodyDiv w:val="1"/>
      <w:marLeft w:val="0"/>
      <w:marRight w:val="0"/>
      <w:marTop w:val="0"/>
      <w:marBottom w:val="0"/>
      <w:divBdr>
        <w:top w:val="none" w:sz="0" w:space="0" w:color="auto"/>
        <w:left w:val="none" w:sz="0" w:space="0" w:color="auto"/>
        <w:bottom w:val="none" w:sz="0" w:space="0" w:color="auto"/>
        <w:right w:val="none" w:sz="0" w:space="0" w:color="auto"/>
      </w:divBdr>
    </w:div>
    <w:div w:id="1949576454">
      <w:bodyDiv w:val="1"/>
      <w:marLeft w:val="0"/>
      <w:marRight w:val="0"/>
      <w:marTop w:val="0"/>
      <w:marBottom w:val="0"/>
      <w:divBdr>
        <w:top w:val="none" w:sz="0" w:space="0" w:color="auto"/>
        <w:left w:val="none" w:sz="0" w:space="0" w:color="auto"/>
        <w:bottom w:val="none" w:sz="0" w:space="0" w:color="auto"/>
        <w:right w:val="none" w:sz="0" w:space="0" w:color="auto"/>
      </w:divBdr>
    </w:div>
    <w:div w:id="1980920133">
      <w:bodyDiv w:val="1"/>
      <w:marLeft w:val="0"/>
      <w:marRight w:val="0"/>
      <w:marTop w:val="0"/>
      <w:marBottom w:val="0"/>
      <w:divBdr>
        <w:top w:val="none" w:sz="0" w:space="0" w:color="auto"/>
        <w:left w:val="none" w:sz="0" w:space="0" w:color="auto"/>
        <w:bottom w:val="none" w:sz="0" w:space="0" w:color="auto"/>
        <w:right w:val="none" w:sz="0" w:space="0" w:color="auto"/>
      </w:divBdr>
    </w:div>
    <w:div w:id="1991325694">
      <w:bodyDiv w:val="1"/>
      <w:marLeft w:val="0"/>
      <w:marRight w:val="0"/>
      <w:marTop w:val="0"/>
      <w:marBottom w:val="0"/>
      <w:divBdr>
        <w:top w:val="none" w:sz="0" w:space="0" w:color="auto"/>
        <w:left w:val="none" w:sz="0" w:space="0" w:color="auto"/>
        <w:bottom w:val="none" w:sz="0" w:space="0" w:color="auto"/>
        <w:right w:val="none" w:sz="0" w:space="0" w:color="auto"/>
      </w:divBdr>
    </w:div>
    <w:div w:id="2082175862">
      <w:bodyDiv w:val="1"/>
      <w:marLeft w:val="0"/>
      <w:marRight w:val="0"/>
      <w:marTop w:val="0"/>
      <w:marBottom w:val="0"/>
      <w:divBdr>
        <w:top w:val="none" w:sz="0" w:space="0" w:color="auto"/>
        <w:left w:val="none" w:sz="0" w:space="0" w:color="auto"/>
        <w:bottom w:val="none" w:sz="0" w:space="0" w:color="auto"/>
        <w:right w:val="none" w:sz="0" w:space="0" w:color="auto"/>
      </w:divBdr>
    </w:div>
    <w:div w:id="2099400329">
      <w:bodyDiv w:val="1"/>
      <w:marLeft w:val="0"/>
      <w:marRight w:val="0"/>
      <w:marTop w:val="0"/>
      <w:marBottom w:val="0"/>
      <w:divBdr>
        <w:top w:val="none" w:sz="0" w:space="0" w:color="auto"/>
        <w:left w:val="none" w:sz="0" w:space="0" w:color="auto"/>
        <w:bottom w:val="none" w:sz="0" w:space="0" w:color="auto"/>
        <w:right w:val="none" w:sz="0" w:space="0" w:color="auto"/>
      </w:divBdr>
    </w:div>
    <w:div w:id="2105807435">
      <w:bodyDiv w:val="1"/>
      <w:marLeft w:val="0"/>
      <w:marRight w:val="0"/>
      <w:marTop w:val="0"/>
      <w:marBottom w:val="0"/>
      <w:divBdr>
        <w:top w:val="none" w:sz="0" w:space="0" w:color="auto"/>
        <w:left w:val="none" w:sz="0" w:space="0" w:color="auto"/>
        <w:bottom w:val="none" w:sz="0" w:space="0" w:color="auto"/>
        <w:right w:val="none" w:sz="0" w:space="0" w:color="auto"/>
      </w:divBdr>
      <w:divsChild>
        <w:div w:id="37245397">
          <w:marLeft w:val="0"/>
          <w:marRight w:val="0"/>
          <w:marTop w:val="0"/>
          <w:marBottom w:val="0"/>
          <w:divBdr>
            <w:top w:val="none" w:sz="0" w:space="0" w:color="auto"/>
            <w:left w:val="none" w:sz="0" w:space="0" w:color="auto"/>
            <w:bottom w:val="none" w:sz="0" w:space="0" w:color="auto"/>
            <w:right w:val="none" w:sz="0" w:space="0" w:color="auto"/>
          </w:divBdr>
        </w:div>
        <w:div w:id="700518774">
          <w:marLeft w:val="0"/>
          <w:marRight w:val="0"/>
          <w:marTop w:val="0"/>
          <w:marBottom w:val="0"/>
          <w:divBdr>
            <w:top w:val="none" w:sz="0" w:space="0" w:color="auto"/>
            <w:left w:val="none" w:sz="0" w:space="0" w:color="auto"/>
            <w:bottom w:val="none" w:sz="0" w:space="0" w:color="auto"/>
            <w:right w:val="none" w:sz="0" w:space="0" w:color="auto"/>
          </w:divBdr>
        </w:div>
        <w:div w:id="1393578021">
          <w:marLeft w:val="0"/>
          <w:marRight w:val="0"/>
          <w:marTop w:val="0"/>
          <w:marBottom w:val="0"/>
          <w:divBdr>
            <w:top w:val="none" w:sz="0" w:space="0" w:color="auto"/>
            <w:left w:val="none" w:sz="0" w:space="0" w:color="auto"/>
            <w:bottom w:val="none" w:sz="0" w:space="0" w:color="auto"/>
            <w:right w:val="none" w:sz="0" w:space="0" w:color="auto"/>
          </w:divBdr>
        </w:div>
        <w:div w:id="1532107818">
          <w:marLeft w:val="0"/>
          <w:marRight w:val="0"/>
          <w:marTop w:val="0"/>
          <w:marBottom w:val="0"/>
          <w:divBdr>
            <w:top w:val="none" w:sz="0" w:space="0" w:color="auto"/>
            <w:left w:val="none" w:sz="0" w:space="0" w:color="auto"/>
            <w:bottom w:val="none" w:sz="0" w:space="0" w:color="auto"/>
            <w:right w:val="none" w:sz="0" w:space="0" w:color="auto"/>
          </w:divBdr>
        </w:div>
        <w:div w:id="1739089909">
          <w:marLeft w:val="0"/>
          <w:marRight w:val="0"/>
          <w:marTop w:val="0"/>
          <w:marBottom w:val="0"/>
          <w:divBdr>
            <w:top w:val="none" w:sz="0" w:space="0" w:color="auto"/>
            <w:left w:val="none" w:sz="0" w:space="0" w:color="auto"/>
            <w:bottom w:val="none" w:sz="0" w:space="0" w:color="auto"/>
            <w:right w:val="none" w:sz="0" w:space="0" w:color="auto"/>
          </w:divBdr>
        </w:div>
      </w:divsChild>
    </w:div>
    <w:div w:id="212646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System_Gestao_V2_27-12-2024\Papel_Timbrado\Papel%20Timbrado_EXECUTIV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EA8DE-4027-427D-9471-2990D85DB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Timbrado_EXECUTIVO.dotx</Template>
  <TotalTime>2</TotalTime>
  <Pages>7</Pages>
  <Words>3115</Words>
  <Characters>16822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lpstr>
    </vt:vector>
  </TitlesOfParts>
  <Company>Prefeitura Municipal de Niquelândia</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Minuta — Contrato de Locação de Veículo</dc:title>
  <dc:creator>Contracts</dc:creator>
  <dc:subject>Minuta para revisão jurídica — Lei 14.133/2021</dc:subject>
  <cp:lastModifiedBy>Contracts</cp:lastModifiedBy>
  <dcterms:created xsi:type="dcterms:W3CDTF">2026-10-29T00:00:00Z</dcterms:created>
  <dcterms:modified xsi:type="dcterms:W3CDTF">2026-10-29T00:00:00Z</dcterms:modified>
</cp:coreProperties>
</file>