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Ejemplo</w:t>
      </w:r>
      <w:r w:rsidDel="00000000" w:rsidR="00000000" w:rsidRPr="00000000">
        <w:rPr>
          <w:rtl w:val="0"/>
        </w:rPr>
        <w:t xml:space="preserve"> de la lista de control de cumplimiento normativo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revisar las regulaciones y estándares de cumplimiento, lee el documento sobre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controles, marcos y cumplimiento normativo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La Comisión Federal Reguladora de Energía,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Corporación de Confiabilidad Eléctrica América del Norte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(FERC-NERC)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normativa FERC-NERC se aplica a organizaciones que trabajan con electricidad o que están involucradas con la red eléctrica de los Estados Unidos y América del Norte. Las </w:t>
      </w:r>
      <w:r w:rsidDel="00000000" w:rsidR="00000000" w:rsidRPr="00000000">
        <w:rPr>
          <w:sz w:val="24"/>
          <w:szCs w:val="24"/>
          <w:rtl w:val="0"/>
        </w:rPr>
        <w:t xml:space="preserve">empresas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tienen la obligación de prepararse, mitigar </w:t>
      </w:r>
      <w:r w:rsidDel="00000000" w:rsidR="00000000" w:rsidRPr="00000000">
        <w:rPr>
          <w:sz w:val="24"/>
          <w:szCs w:val="24"/>
          <w:rtl w:val="0"/>
        </w:rPr>
        <w:t xml:space="preserve">y reportar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cualquier incidente de seguridad potencial que pueda afectar negativamente a la red eléctrica. También están legalmente obligadas a cumplir con los Estándares de Confiabilidad de Protección de Infraestructura Crítica (CIP) definidos por la FERC.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disponible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Reglamento General de Protección de Datos (RGPD)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RGPD es una </w:t>
      </w:r>
      <w:r w:rsidDel="00000000" w:rsidR="00000000" w:rsidRPr="00000000">
        <w:rPr>
          <w:sz w:val="24"/>
          <w:szCs w:val="24"/>
          <w:rtl w:val="0"/>
        </w:rPr>
        <w:t xml:space="preserve">regulación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general de datos de la Unión Europea (UE) que protege el procesamiento de los datos de </w:t>
      </w:r>
      <w:r w:rsidDel="00000000" w:rsidR="00000000" w:rsidRPr="00000000">
        <w:rPr>
          <w:sz w:val="24"/>
          <w:szCs w:val="24"/>
          <w:rtl w:val="0"/>
        </w:rPr>
        <w:t xml:space="preserve">sus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residentes y su derecho a la privacidad dentro y fuera del territorio. Además, si se produce una filtración y los datos de una </w:t>
      </w:r>
      <w:r w:rsidDel="00000000" w:rsidR="00000000" w:rsidRPr="00000000">
        <w:rPr>
          <w:sz w:val="24"/>
          <w:szCs w:val="24"/>
          <w:rtl w:val="0"/>
        </w:rPr>
        <w:t xml:space="preserve">persona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ven comprometidos, est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debe ser informado </w:t>
      </w:r>
      <w:r w:rsidDel="00000000" w:rsidR="00000000" w:rsidRPr="00000000">
        <w:rPr>
          <w:sz w:val="24"/>
          <w:szCs w:val="24"/>
          <w:rtl w:val="0"/>
        </w:rPr>
        <w:t xml:space="preserve">en un plazo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72 horas posteriores al incidente.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Botium Toys debe cumplir con el RGPD porque trabaja con personas (y recopila su información) de todo el mundo, incluida la UE.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Estándares 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eguridad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atos del sector de 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arjetas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 (PCI DSS)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PCI DSS es un e</w:t>
      </w:r>
      <w:r w:rsidDel="00000000" w:rsidR="00000000" w:rsidRPr="00000000">
        <w:rPr>
          <w:sz w:val="24"/>
          <w:szCs w:val="24"/>
          <w:rtl w:val="0"/>
        </w:rPr>
        <w:t xml:space="preserve">stándar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internacional destinad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garantizar que las organizaciones que almacenan, aceptan, procesan y transmiten información de tarjetas de crédito </w:t>
      </w:r>
      <w:r w:rsidDel="00000000" w:rsidR="00000000" w:rsidRPr="00000000">
        <w:rPr>
          <w:sz w:val="24"/>
          <w:szCs w:val="24"/>
          <w:rtl w:val="0"/>
        </w:rPr>
        <w:t xml:space="preserve">lo hagan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un entorno seguro.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Botium Toys debe cumplir con las PCI DSS porque almacena, acepta, procesa y transmite información de tarjetas de crédito </w:t>
      </w:r>
      <w:r w:rsidDel="00000000" w:rsidR="00000000" w:rsidRPr="00000000">
        <w:rPr>
          <w:sz w:val="24"/>
          <w:szCs w:val="24"/>
          <w:rtl w:val="0"/>
        </w:rPr>
        <w:t xml:space="preserve">tanto de forma presencial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línea.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Ley de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Transferencia</w:t>
      </w:r>
      <w:r w:rsidDel="00000000" w:rsidR="00000000" w:rsidRPr="00000000">
        <w:rPr>
          <w:b w:val="1"/>
          <w:sz w:val="24"/>
          <w:szCs w:val="24"/>
          <w:rtl w:val="0"/>
        </w:rPr>
        <w:t xml:space="preserve"> y Responsabilidad de los Seguros Médicos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(HIPAA)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HIPAA es una ley federal </w:t>
      </w:r>
      <w:r w:rsidDel="00000000" w:rsidR="00000000" w:rsidRPr="00000000">
        <w:rPr>
          <w:sz w:val="24"/>
          <w:szCs w:val="24"/>
          <w:rtl w:val="0"/>
        </w:rPr>
        <w:t xml:space="preserve">de los Estados Unidos establecida 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1996 para proteger la información médica de las perso</w:t>
      </w:r>
      <w:r w:rsidDel="00000000" w:rsidR="00000000" w:rsidRPr="00000000">
        <w:rPr>
          <w:sz w:val="24"/>
          <w:szCs w:val="24"/>
          <w:rtl w:val="0"/>
        </w:rPr>
        <w:t xml:space="preserve">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Esta ley prohíbe que la información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un/a paciente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comparta sin su consentimiento. Las organizaciones tienen la obligación legal de informar a los/as pacientes en caso de que esta información se filtr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disponible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Controles de Sistemas y Organizaciones (SOC tipo 1, SOC tipo 2)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SOC1 y el SOC2 </w:t>
      </w:r>
      <w:r w:rsidDel="00000000" w:rsidR="00000000" w:rsidRPr="00000000">
        <w:rPr>
          <w:sz w:val="24"/>
          <w:szCs w:val="24"/>
          <w:rtl w:val="0"/>
        </w:rPr>
        <w:t xml:space="preserve">se enfocan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las políticas de acceso de </w:t>
      </w:r>
      <w:r w:rsidDel="00000000" w:rsidR="00000000" w:rsidRPr="00000000">
        <w:rPr>
          <w:sz w:val="24"/>
          <w:szCs w:val="24"/>
          <w:rtl w:val="0"/>
        </w:rPr>
        <w:t xml:space="preserve">las usuarias y 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usuarios de una organización </w:t>
      </w:r>
      <w:r w:rsidDel="00000000" w:rsidR="00000000" w:rsidRPr="00000000">
        <w:rPr>
          <w:sz w:val="24"/>
          <w:szCs w:val="24"/>
          <w:rtl w:val="0"/>
        </w:rPr>
        <w:t xml:space="preserve">en 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diferentes niveles. Se utilizan para evaluar el cumplimiento financiero de una organización, así como los niveles de riesgo asoci</w:t>
      </w:r>
      <w:r w:rsidDel="00000000" w:rsidR="00000000" w:rsidRPr="00000000">
        <w:rPr>
          <w:sz w:val="24"/>
          <w:szCs w:val="24"/>
          <w:rtl w:val="0"/>
        </w:rPr>
        <w:t xml:space="preserve">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También </w:t>
      </w:r>
      <w:r w:rsidDel="00000000" w:rsidR="00000000" w:rsidRPr="00000000">
        <w:rPr>
          <w:sz w:val="24"/>
          <w:szCs w:val="24"/>
          <w:rtl w:val="0"/>
        </w:rPr>
        <w:t xml:space="preserve">abordan aspectos críticos como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confidencialidad, privacidad, integridad, disponibilidad, seguridad y protección general de los datos. </w:t>
      </w:r>
      <w:r w:rsidDel="00000000" w:rsidR="00000000" w:rsidRPr="00000000">
        <w:rPr>
          <w:sz w:val="24"/>
          <w:szCs w:val="24"/>
          <w:rtl w:val="0"/>
        </w:rPr>
        <w:t xml:space="preserve">Es importante destacar que cualquier falla en el control de estos aspectos puede resultar en posibles fraudes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necesario que Botium Toys cree y haga cumplir el acceso adecuado del personal interno y externo (proveedores externos), a fin de mitigar los riesgos y garantizar la seguridad de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paragraph" w:styleId="P68B1DB1-Normal1">
    <w:name w:val="P68B1DB1-Normal1"/>
    <w:basedOn w:val="Normal"/>
    <w:rPr>
      <w:sz w:val="24"/>
    </w:rPr>
  </w:style>
  <w:style w:type="paragraph" w:styleId="P68B1DB1-Normal2">
    <w:name w:val="P68B1DB1-Normal2"/>
    <w:basedOn w:val="Normal"/>
    <w:rPr>
      <w:b w:val="1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oursera.org/learn/foundations-of-cybersecurity/supplement/xu4pr/controls-frameworks-and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8G6TQcy4J/4bO7OzyS+mLN+sAw==">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