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628"/>
        <w:gridCol w:w="4799"/>
        <w:gridCol w:w="7523"/>
      </w:tblGrid>
      <w:tr w:rsidR="007B1047" w:rsidTr="00435481">
        <w:tc>
          <w:tcPr>
            <w:tcW w:w="628" w:type="dxa"/>
          </w:tcPr>
          <w:p w:rsidR="007B1047" w:rsidRDefault="007B1047">
            <w:r>
              <w:t>Area</w:t>
            </w:r>
          </w:p>
        </w:tc>
        <w:tc>
          <w:tcPr>
            <w:tcW w:w="6207" w:type="dxa"/>
          </w:tcPr>
          <w:p w:rsidR="007B1047" w:rsidRDefault="007B1047">
            <w:r>
              <w:t>Notes</w:t>
            </w:r>
          </w:p>
        </w:tc>
        <w:tc>
          <w:tcPr>
            <w:tcW w:w="6115" w:type="dxa"/>
          </w:tcPr>
          <w:p w:rsidR="007B1047" w:rsidRDefault="007B1047">
            <w:r>
              <w:t>Reference</w:t>
            </w:r>
          </w:p>
        </w:tc>
      </w:tr>
      <w:tr w:rsidR="007B1047" w:rsidTr="00435481">
        <w:tc>
          <w:tcPr>
            <w:tcW w:w="628" w:type="dxa"/>
          </w:tcPr>
          <w:p w:rsidR="007B1047" w:rsidRDefault="007B1047">
            <w:r>
              <w:t>Measures</w:t>
            </w:r>
          </w:p>
        </w:tc>
        <w:tc>
          <w:tcPr>
            <w:tcW w:w="6207" w:type="dxa"/>
          </w:tcPr>
          <w:p w:rsidR="007B1047" w:rsidRDefault="007B1047" w:rsidP="007B1047">
            <w:pPr>
              <w:pStyle w:val="ListParagraph"/>
              <w:numPr>
                <w:ilvl w:val="0"/>
                <w:numId w:val="1"/>
              </w:numPr>
            </w:pPr>
            <w:r>
              <w:t>Good template</w:t>
            </w:r>
          </w:p>
          <w:p w:rsidR="007B1047" w:rsidRDefault="007B1047" w:rsidP="007B1047">
            <w:pPr>
              <w:pStyle w:val="ListParagraph"/>
              <w:numPr>
                <w:ilvl w:val="0"/>
                <w:numId w:val="1"/>
              </w:numPr>
            </w:pPr>
            <w:r>
              <w:t>How measures are correlated</w:t>
            </w:r>
          </w:p>
          <w:p w:rsidR="007B1047" w:rsidRDefault="007B1047" w:rsidP="007B1047">
            <w:pPr>
              <w:pStyle w:val="ListParagraph"/>
              <w:numPr>
                <w:ilvl w:val="0"/>
                <w:numId w:val="1"/>
              </w:numPr>
            </w:pPr>
            <w:r>
              <w:t>Very little correlation to be found</w:t>
            </w:r>
          </w:p>
        </w:tc>
        <w:tc>
          <w:tcPr>
            <w:tcW w:w="6115" w:type="dxa"/>
          </w:tcPr>
          <w:p w:rsidR="007B1047" w:rsidRPr="007B1047" w:rsidRDefault="007B1047">
            <w:r w:rsidRPr="007B1047">
              <w:t>[@HuJordanRubinfeldSchreiberWatermanNerenz2016, pp. 1-2]</w:t>
            </w:r>
          </w:p>
          <w:p w:rsidR="007B1047" w:rsidRDefault="007B1047">
            <w:pPr>
              <w:rPr>
                <w:rFonts w:ascii="Consolas" w:hAnsi="Consolas" w:cs="Consolas"/>
                <w:color w:val="000000"/>
                <w:sz w:val="19"/>
                <w:szCs w:val="19"/>
              </w:rPr>
            </w:pPr>
          </w:p>
          <w:p w:rsidR="007B1047" w:rsidRDefault="007B1047" w:rsidP="007B1047">
            <w:r>
              <w:t xml:space="preserve">Hu, </w:t>
            </w:r>
            <w:proofErr w:type="spellStart"/>
            <w:r>
              <w:t>Jianhui</w:t>
            </w:r>
            <w:proofErr w:type="spellEnd"/>
            <w:r>
              <w:t xml:space="preserve">, Jack Jordan, </w:t>
            </w:r>
            <w:proofErr w:type="spellStart"/>
            <w:r>
              <w:t>Ilan</w:t>
            </w:r>
            <w:proofErr w:type="spellEnd"/>
            <w:r>
              <w:t xml:space="preserve"> </w:t>
            </w:r>
            <w:proofErr w:type="spellStart"/>
            <w:r>
              <w:t>Rubinfeld</w:t>
            </w:r>
            <w:proofErr w:type="spellEnd"/>
            <w:r>
              <w:t xml:space="preserve">, Michelle Schreiber, Brian Waterman, and David </w:t>
            </w:r>
            <w:proofErr w:type="spellStart"/>
            <w:r>
              <w:t>Nerenz</w:t>
            </w:r>
            <w:proofErr w:type="spellEnd"/>
            <w:r>
              <w:t>. 2016. “Correlations Among Hospital Quality Measures.” American Journal of Medical Quality 0 (0): 1062860616684012.</w:t>
            </w:r>
          </w:p>
          <w:p w:rsidR="007B1047" w:rsidRDefault="007B1047" w:rsidP="007B1047">
            <w:r>
              <w:t>doi:10.1177/1062860616684012.</w:t>
            </w:r>
          </w:p>
        </w:tc>
      </w:tr>
      <w:tr w:rsidR="007B1047" w:rsidTr="00435481">
        <w:tc>
          <w:tcPr>
            <w:tcW w:w="628" w:type="dxa"/>
          </w:tcPr>
          <w:p w:rsidR="007B1047" w:rsidRDefault="007B1047">
            <w:r>
              <w:t>Measures</w:t>
            </w:r>
          </w:p>
        </w:tc>
        <w:tc>
          <w:tcPr>
            <w:tcW w:w="6207" w:type="dxa"/>
          </w:tcPr>
          <w:p w:rsidR="007B1047" w:rsidRDefault="007B1047" w:rsidP="007B1047">
            <w:r>
              <w:t xml:space="preserve">Quality measures within hospital compare do not serve as a good indicator for the quality a patient might receive. These measures are not composed of </w:t>
            </w:r>
            <w:proofErr w:type="spellStart"/>
            <w:r>
              <w:t>speicific</w:t>
            </w:r>
            <w:proofErr w:type="spellEnd"/>
            <w:r>
              <w:t xml:space="preserve"> underlying trait. See reason notes.</w:t>
            </w:r>
          </w:p>
        </w:tc>
        <w:tc>
          <w:tcPr>
            <w:tcW w:w="6115" w:type="dxa"/>
          </w:tcPr>
          <w:p w:rsidR="007B1047" w:rsidRDefault="007B1047">
            <w:r w:rsidRPr="007B1047">
              <w:t>[@WernerBradlow2006]</w:t>
            </w:r>
          </w:p>
          <w:p w:rsidR="007B1047" w:rsidRDefault="007B1047"/>
          <w:p w:rsidR="007B1047" w:rsidRDefault="007B1047" w:rsidP="007B1047">
            <w:r>
              <w:t xml:space="preserve">RM, Werner, and </w:t>
            </w:r>
            <w:proofErr w:type="spellStart"/>
            <w:r>
              <w:t>Bradlow</w:t>
            </w:r>
            <w:proofErr w:type="spellEnd"/>
            <w:r>
              <w:t xml:space="preserve"> ET. 2006. “Relationship Between Medicare’s Hospital Compare Performance</w:t>
            </w:r>
          </w:p>
          <w:p w:rsidR="007B1047" w:rsidRDefault="007B1047" w:rsidP="007B1047">
            <w:r>
              <w:t>Measures and Mortality Rates.” JAMA 296 (22): 2694–2702. doi:10.1001/jama.296.22.2694.</w:t>
            </w:r>
          </w:p>
        </w:tc>
      </w:tr>
      <w:tr w:rsidR="007B1047" w:rsidTr="00435481">
        <w:tc>
          <w:tcPr>
            <w:tcW w:w="628" w:type="dxa"/>
          </w:tcPr>
          <w:p w:rsidR="007B1047" w:rsidRDefault="007B1047">
            <w:r>
              <w:t>Measures</w:t>
            </w:r>
          </w:p>
          <w:p w:rsidR="007B1047" w:rsidRDefault="007B1047">
            <w:r>
              <w:t>HIT Systems</w:t>
            </w:r>
          </w:p>
        </w:tc>
        <w:tc>
          <w:tcPr>
            <w:tcW w:w="6207" w:type="dxa"/>
          </w:tcPr>
          <w:p w:rsidR="007B1047" w:rsidRDefault="007B1047">
            <w:r>
              <w:t xml:space="preserve">The measures that were chosen and why. </w:t>
            </w:r>
          </w:p>
          <w:p w:rsidR="007B1047" w:rsidRDefault="007B1047">
            <w:r>
              <w:t>Measures related to specific systems</w:t>
            </w:r>
          </w:p>
          <w:p w:rsidR="007B1047" w:rsidRDefault="007B1047"/>
          <w:p w:rsidR="007B1047" w:rsidRDefault="007B1047">
            <w:r>
              <w:rPr>
                <w:rStyle w:val="fontstyle01"/>
              </w:rPr>
              <w:t>First, we did not study all of health ITs potential benefits. Second, we did not track important variations in the individual hospitals’ health IT investments. Although we designed our</w:t>
            </w:r>
            <w:r>
              <w:rPr>
                <w:rFonts w:ascii="LMRoman10-Bold" w:hAnsi="LMRoman10-Bold"/>
                <w:b/>
                <w:bCs/>
                <w:color w:val="000000"/>
                <w:sz w:val="20"/>
                <w:szCs w:val="20"/>
              </w:rPr>
              <w:br/>
            </w:r>
            <w:r>
              <w:rPr>
                <w:rStyle w:val="fontstyle01"/>
              </w:rPr>
              <w:t>empirical strategy to mitigate bias stemming from these omitted variables, the topic deserves</w:t>
            </w:r>
            <w:r>
              <w:rPr>
                <w:rFonts w:ascii="LMRoman10-Bold" w:hAnsi="LMRoman10-Bold"/>
                <w:b/>
                <w:bCs/>
                <w:color w:val="000000"/>
                <w:sz w:val="20"/>
                <w:szCs w:val="20"/>
              </w:rPr>
              <w:br/>
            </w:r>
            <w:r>
              <w:rPr>
                <w:rStyle w:val="fontstyle01"/>
              </w:rPr>
              <w:t>further scrutiny.</w:t>
            </w:r>
          </w:p>
        </w:tc>
        <w:tc>
          <w:tcPr>
            <w:tcW w:w="6115" w:type="dxa"/>
          </w:tcPr>
          <w:p w:rsidR="007B1047" w:rsidRDefault="007B1047">
            <w:r w:rsidRPr="007B1047">
              <w:t>[@McCulloughCaseyMoscovicePrasad2010]</w:t>
            </w:r>
          </w:p>
          <w:p w:rsidR="007B1047" w:rsidRDefault="007B1047"/>
          <w:p w:rsidR="007B1047" w:rsidRDefault="007B1047" w:rsidP="007B1047">
            <w:r>
              <w:t xml:space="preserve">McCullough, Jeffrey S., Michelle Casey, Ira </w:t>
            </w:r>
            <w:proofErr w:type="spellStart"/>
            <w:r>
              <w:t>Moscovice</w:t>
            </w:r>
            <w:proofErr w:type="spellEnd"/>
            <w:r>
              <w:t xml:space="preserve">, and </w:t>
            </w:r>
            <w:proofErr w:type="spellStart"/>
            <w:r>
              <w:t>Shailendra</w:t>
            </w:r>
            <w:proofErr w:type="spellEnd"/>
            <w:r>
              <w:t xml:space="preserve"> Prasad. 2010. “The Effect of Health</w:t>
            </w:r>
          </w:p>
          <w:p w:rsidR="007B1047" w:rsidRDefault="007B1047" w:rsidP="007B1047">
            <w:r>
              <w:t>Information Technology on Quality in U.S. Hospitals.” Health Affairs 29 (4): 647–54. http://unr.idm.oclc.</w:t>
            </w:r>
          </w:p>
          <w:p w:rsidR="007B1047" w:rsidRDefault="007B1047" w:rsidP="007B1047">
            <w:r>
              <w:t>org/login?url=http://search.proquest.com.unr.idm.oclc.org/docview/204628452?accountid=452.</w:t>
            </w:r>
          </w:p>
        </w:tc>
      </w:tr>
      <w:tr w:rsidR="007B1047" w:rsidTr="00435481">
        <w:tc>
          <w:tcPr>
            <w:tcW w:w="628" w:type="dxa"/>
          </w:tcPr>
          <w:p w:rsidR="007B1047" w:rsidRDefault="00430BD6">
            <w:r>
              <w:t>Measures</w:t>
            </w:r>
          </w:p>
        </w:tc>
        <w:tc>
          <w:tcPr>
            <w:tcW w:w="6207" w:type="dxa"/>
          </w:tcPr>
          <w:p w:rsidR="007B1047" w:rsidRDefault="007B1047">
            <w:r>
              <w:t>Possible calculate revenue reduction</w:t>
            </w:r>
          </w:p>
          <w:p w:rsidR="007B1047" w:rsidRDefault="007B1047"/>
          <w:p w:rsidR="007B1047" w:rsidRDefault="007B1047" w:rsidP="007B1047">
            <w:r>
              <w:t>reduce payments by 1%</w:t>
            </w:r>
          </w:p>
          <w:p w:rsidR="007B1047" w:rsidRDefault="007B1047" w:rsidP="007B1047">
            <w:r>
              <w:t>for hospitals that rank among the lowest-performing</w:t>
            </w:r>
          </w:p>
          <w:p w:rsidR="007B1047" w:rsidRDefault="007B1047" w:rsidP="007B1047">
            <w:r>
              <w:t>quartile with regard to HACs. The CMS recently released preliminary HAC scores and provisionally assigned penalties to hospitals with a score above 7</w:t>
            </w:r>
          </w:p>
        </w:tc>
        <w:tc>
          <w:tcPr>
            <w:tcW w:w="6115" w:type="dxa"/>
          </w:tcPr>
          <w:p w:rsidR="007B1047" w:rsidRDefault="007B1047">
            <w:r w:rsidRPr="007B1047">
              <w:t>[@MenendezRing2015]</w:t>
            </w:r>
          </w:p>
          <w:p w:rsidR="007B1047" w:rsidRDefault="007B1047"/>
          <w:p w:rsidR="007B1047" w:rsidRDefault="007B1047" w:rsidP="007B1047">
            <w:r>
              <w:t>Menendez, David MD, Mariano E. MD; Ring. 2015. “Do Hospital-Acquired Condition Scores Correlate with</w:t>
            </w:r>
          </w:p>
          <w:p w:rsidR="007B1047" w:rsidRDefault="007B1047" w:rsidP="007B1047">
            <w:r>
              <w:t>Patients’ Perspectives of Care?” Quality Management in Health Care 24 (2): 69–73. http://ovidsp.ovid.com/</w:t>
            </w:r>
          </w:p>
          <w:p w:rsidR="007B1047" w:rsidRPr="007B1047" w:rsidRDefault="007B1047" w:rsidP="007B1047">
            <w:r>
              <w:t>ovidweb.cgi?T=JS&amp;CSC=Y&amp;NEWS=N&amp;PAGE=fulltext&amp;D=ovftq&amp;AN=00019514-201504000-00003.</w:t>
            </w:r>
          </w:p>
        </w:tc>
      </w:tr>
      <w:tr w:rsidR="00430BD6" w:rsidTr="00435481">
        <w:tc>
          <w:tcPr>
            <w:tcW w:w="628" w:type="dxa"/>
          </w:tcPr>
          <w:p w:rsidR="00430BD6" w:rsidRDefault="00351587">
            <w:r>
              <w:lastRenderedPageBreak/>
              <w:t>Measures</w:t>
            </w:r>
          </w:p>
        </w:tc>
        <w:tc>
          <w:tcPr>
            <w:tcW w:w="6207" w:type="dxa"/>
          </w:tcPr>
          <w:p w:rsidR="00430BD6" w:rsidRDefault="00430BD6" w:rsidP="00430BD6">
            <w:r>
              <w:t>Additionally, on October 1, 2014 (fiscal year 2015), CMS began</w:t>
            </w:r>
          </w:p>
          <w:p w:rsidR="00430BD6" w:rsidRDefault="00430BD6" w:rsidP="00430BD6">
            <w:proofErr w:type="spellStart"/>
            <w:r>
              <w:t>usingAHRQ’sPatientSafetyforSelectedIndicators</w:t>
            </w:r>
            <w:proofErr w:type="spellEnd"/>
            <w:r>
              <w:t>(PSI-</w:t>
            </w:r>
          </w:p>
          <w:p w:rsidR="00430BD6" w:rsidRDefault="00430BD6" w:rsidP="00430BD6">
            <w:r>
              <w:t>90)asacoremetricin2ofitspay-for-performanceprograms: the Hospital-Acquired Condition (HAC) Reduction program and the Hospital Value-Based Purchasing</w:t>
            </w:r>
          </w:p>
          <w:p w:rsidR="00430BD6" w:rsidRDefault="00430BD6" w:rsidP="00430BD6">
            <w:r>
              <w:t>(VBP)program.PSI-90isacompositemeasureconsistingof8weightedcomponentPSImeasures(Table).1In</w:t>
            </w:r>
          </w:p>
          <w:p w:rsidR="00430BD6" w:rsidRDefault="00430BD6" w:rsidP="00430BD6">
            <w:r>
              <w:t>the HAC Reduction program, PSI-90 is responsible for</w:t>
            </w:r>
          </w:p>
          <w:p w:rsidR="00430BD6" w:rsidRDefault="00430BD6" w:rsidP="00430BD6">
            <w:r>
              <w:t>35% of the overall score, and the poorest-performing</w:t>
            </w:r>
          </w:p>
          <w:p w:rsidR="00430BD6" w:rsidRDefault="00430BD6" w:rsidP="00430BD6">
            <w:proofErr w:type="spellStart"/>
            <w:r>
              <w:t>hospitalquartilewillhavetheirCMSpaymentsreduced</w:t>
            </w:r>
            <w:proofErr w:type="spellEnd"/>
          </w:p>
          <w:p w:rsidR="00430BD6" w:rsidRDefault="00430BD6" w:rsidP="00430BD6">
            <w:r>
              <w:t>by up to 1% (~$330 million)</w:t>
            </w:r>
          </w:p>
          <w:p w:rsidR="00351587" w:rsidRDefault="00351587" w:rsidP="00351587"/>
          <w:p w:rsidR="00351587" w:rsidRDefault="00351587" w:rsidP="00351587">
            <w:r>
              <w:t>Thus,thePSI-90compositemeasurehasbeengivensubstantialweightinattemptingtoalignthefinancialinterestsofhospitalswith</w:t>
            </w:r>
          </w:p>
          <w:p w:rsidR="00351587" w:rsidRDefault="00351587" w:rsidP="00351587">
            <w:r>
              <w:t>the quality of care they provide</w:t>
            </w:r>
          </w:p>
          <w:p w:rsidR="00274CF0" w:rsidRDefault="00274CF0" w:rsidP="00351587"/>
          <w:p w:rsidR="00274CF0" w:rsidRDefault="00274CF0" w:rsidP="00274CF0">
            <w:r>
              <w:t xml:space="preserve">PSI-12 – Surveillance Bias - </w:t>
            </w:r>
            <w:r>
              <w:t xml:space="preserve"> VTE outcome</w:t>
            </w:r>
          </w:p>
          <w:p w:rsidR="00274CF0" w:rsidRDefault="00274CF0" w:rsidP="00274CF0">
            <w:r>
              <w:t>metric in PSI-90 may unfairly penalize many hospitals</w:t>
            </w:r>
          </w:p>
          <w:p w:rsidR="00274CF0" w:rsidRDefault="00274CF0" w:rsidP="00274CF0">
            <w:r>
              <w:t>that have a high VTE event rate due to increased vigilance in detection, not poor quality of care</w:t>
            </w:r>
          </w:p>
          <w:p w:rsidR="00274CF0" w:rsidRDefault="00274CF0" w:rsidP="00274CF0">
            <w:r>
              <w:t>PSI-03 Same</w:t>
            </w:r>
          </w:p>
          <w:p w:rsidR="00274CF0" w:rsidRDefault="00274CF0" w:rsidP="00274CF0"/>
          <w:p w:rsidR="00274CF0" w:rsidRDefault="00274CF0" w:rsidP="00274CF0">
            <w:r>
              <w:rPr>
                <w:noProof/>
              </w:rPr>
              <w:lastRenderedPageBreak/>
              <w:drawing>
                <wp:inline distT="0" distB="0" distL="0" distR="0" wp14:anchorId="57D2A1C1" wp14:editId="435D3F58">
                  <wp:extent cx="37338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3790950"/>
                          </a:xfrm>
                          <a:prstGeom prst="rect">
                            <a:avLst/>
                          </a:prstGeom>
                        </pic:spPr>
                      </pic:pic>
                    </a:graphicData>
                  </a:graphic>
                </wp:inline>
              </w:drawing>
            </w:r>
          </w:p>
          <w:p w:rsidR="00274CF0" w:rsidRDefault="00274CF0" w:rsidP="00274CF0"/>
          <w:p w:rsidR="00274CF0" w:rsidRDefault="00274CF0" w:rsidP="00274CF0">
            <w:r>
              <w:t>The component weights of PSI-90 are calculatedusingnumeratorweighting.1Thisapproachisbasedonthefrequency of each component event in the reference population, with</w:t>
            </w:r>
          </w:p>
          <w:p w:rsidR="00274CF0" w:rsidRDefault="00274CF0" w:rsidP="00274CF0">
            <w:r>
              <w:t>more frequently occurring events receiving higher weighting</w:t>
            </w:r>
          </w:p>
          <w:p w:rsidR="00351587" w:rsidRDefault="00351587" w:rsidP="00430BD6"/>
        </w:tc>
        <w:tc>
          <w:tcPr>
            <w:tcW w:w="6115" w:type="dxa"/>
          </w:tcPr>
          <w:p w:rsidR="00430BD6" w:rsidRDefault="00351587">
            <w:r>
              <w:lastRenderedPageBreak/>
              <w:t>[@</w:t>
            </w:r>
            <w:r w:rsidRPr="00351587">
              <w:t>RajaramBarnardBilimoria2015</w:t>
            </w:r>
            <w:r>
              <w:t>]</w:t>
            </w:r>
          </w:p>
          <w:p w:rsidR="00351587" w:rsidRDefault="00351587"/>
          <w:p w:rsidR="00351587" w:rsidRPr="007B1047" w:rsidRDefault="00351587">
            <w:r w:rsidRPr="00351587">
              <w:t>Concerns about using the patient safety indicator-90 composite in pay-for-performance programs</w:t>
            </w:r>
          </w:p>
        </w:tc>
      </w:tr>
      <w:tr w:rsidR="00430BD6" w:rsidTr="00435481">
        <w:tc>
          <w:tcPr>
            <w:tcW w:w="628" w:type="dxa"/>
          </w:tcPr>
          <w:p w:rsidR="00430BD6" w:rsidRDefault="00430BD6"/>
        </w:tc>
        <w:tc>
          <w:tcPr>
            <w:tcW w:w="6207" w:type="dxa"/>
          </w:tcPr>
          <w:p w:rsidR="00430BD6" w:rsidRDefault="00435481">
            <w:r>
              <w:t xml:space="preserve">Quality use rises </w:t>
            </w:r>
          </w:p>
          <w:p w:rsidR="00435481" w:rsidRDefault="00435481">
            <w:r>
              <w:t>GOOD TEMPLATE</w:t>
            </w:r>
          </w:p>
        </w:tc>
        <w:tc>
          <w:tcPr>
            <w:tcW w:w="6115" w:type="dxa"/>
          </w:tcPr>
          <w:p w:rsidR="00430BD6" w:rsidRPr="007B1047" w:rsidRDefault="00274CF0">
            <w:proofErr w:type="spellStart"/>
            <w:r w:rsidRPr="00274CF0">
              <w:t>Appari</w:t>
            </w:r>
            <w:proofErr w:type="spellEnd"/>
            <w:r w:rsidRPr="00274CF0">
              <w:t xml:space="preserve">, </w:t>
            </w:r>
            <w:proofErr w:type="spellStart"/>
            <w:r w:rsidRPr="00274CF0">
              <w:t>Ajit</w:t>
            </w:r>
            <w:proofErr w:type="spellEnd"/>
            <w:r w:rsidRPr="00274CF0">
              <w:t xml:space="preserve">, M. Eric Johnson, and Denise L. Anthony. "Meaningful use of electronic health record systems and process quality of care: evidence from a panel data analysis of U.S. acute-care hospitals." Health Services Research, April 2013, 354+. Health Reference Center Academic (accessed March 11, 2017). </w:t>
            </w:r>
            <w:r w:rsidRPr="00274CF0">
              <w:lastRenderedPageBreak/>
              <w:t>http://go.galegroup.com.unr.idm.oclc.org/ps/i.do?p=HRCA&amp;sw=w&amp;u=reno&amp;v=2.1&amp;it=r&amp;id=GALE%7CA325091572&amp;sid=summon&amp;asid=323c9f8be7346a37a4694d777fc0ffee.</w:t>
            </w:r>
          </w:p>
        </w:tc>
      </w:tr>
      <w:tr w:rsidR="00430BD6" w:rsidTr="00435481">
        <w:tc>
          <w:tcPr>
            <w:tcW w:w="628" w:type="dxa"/>
          </w:tcPr>
          <w:p w:rsidR="00430BD6" w:rsidRDefault="00430BD6"/>
        </w:tc>
        <w:tc>
          <w:tcPr>
            <w:tcW w:w="6207" w:type="dxa"/>
          </w:tcPr>
          <w:p w:rsidR="00430BD6" w:rsidRDefault="008C2ADB">
            <w:r w:rsidRPr="008C2ADB">
              <w:t>Hospitals are appropriately skeptical of these conflicting rating systems, and quality improvement planning should not focus unduly on them. The ratings conflict because of different metrics, statistical methods, and weights. Some hospitals seem to refocus their quality goals every couple months whenever one of the many ratings systems releases updated rankings. Hospitals risk spending their scarce resources improving flawed publicly reported metrics rather than improving actual care processes that are important and show evidence of defects.</w:t>
            </w:r>
          </w:p>
          <w:p w:rsidR="008C2ADB" w:rsidRDefault="008C2ADB"/>
          <w:p w:rsidR="008C2ADB" w:rsidRDefault="008C2ADB">
            <w:r w:rsidRPr="008C2ADB">
              <w:t>First, the composite should be based on a smaller number of relevant measures that patients actually find beneficial in decision making (</w:t>
            </w:r>
            <w:proofErr w:type="spellStart"/>
            <w:r w:rsidRPr="008C2ADB">
              <w:t>eg</w:t>
            </w:r>
            <w:proofErr w:type="spellEnd"/>
            <w:r w:rsidRPr="008C2ADB">
              <w:t xml:space="preserve">, </w:t>
            </w:r>
            <w:bookmarkStart w:id="0" w:name="_GoBack"/>
            <w:r w:rsidRPr="008C2ADB">
              <w:rPr>
                <w:b/>
              </w:rPr>
              <w:t>mortality, serious complications, patient-reported outcomes</w:t>
            </w:r>
            <w:bookmarkEnd w:id="0"/>
          </w:p>
        </w:tc>
        <w:tc>
          <w:tcPr>
            <w:tcW w:w="6115" w:type="dxa"/>
          </w:tcPr>
          <w:p w:rsidR="00430BD6" w:rsidRPr="007B1047" w:rsidRDefault="00AB2B5E">
            <w:proofErr w:type="spellStart"/>
            <w:r w:rsidRPr="00AB2B5E">
              <w:t>Bilimoria</w:t>
            </w:r>
            <w:proofErr w:type="spellEnd"/>
            <w:r w:rsidRPr="00AB2B5E">
              <w:t xml:space="preserve"> KY, Barnard C. The New CMS Hospital Quality Star </w:t>
            </w:r>
            <w:proofErr w:type="spellStart"/>
            <w:r w:rsidRPr="00AB2B5E">
              <w:t>RatingsThe</w:t>
            </w:r>
            <w:proofErr w:type="spellEnd"/>
            <w:r w:rsidRPr="00AB2B5E">
              <w:t xml:space="preserve"> Stars Are Not Aligned. JAMA. 2016;316(17):1761-1762. doi:10.1001/jama.2016.13679</w:t>
            </w:r>
          </w:p>
        </w:tc>
      </w:tr>
    </w:tbl>
    <w:p w:rsidR="004D3AF8" w:rsidRDefault="004D3AF8"/>
    <w:sectPr w:rsidR="004D3AF8" w:rsidSect="00BC188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Bold">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2F699A"/>
    <w:multiLevelType w:val="hybridMultilevel"/>
    <w:tmpl w:val="2A4C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88C"/>
    <w:rsid w:val="00274CF0"/>
    <w:rsid w:val="00351587"/>
    <w:rsid w:val="003C0950"/>
    <w:rsid w:val="00430BD6"/>
    <w:rsid w:val="00435481"/>
    <w:rsid w:val="004D3AF8"/>
    <w:rsid w:val="005D6634"/>
    <w:rsid w:val="007B1047"/>
    <w:rsid w:val="00872DC0"/>
    <w:rsid w:val="008C2ADB"/>
    <w:rsid w:val="00A266BE"/>
    <w:rsid w:val="00AB2B5E"/>
    <w:rsid w:val="00BA24B7"/>
    <w:rsid w:val="00BC188C"/>
    <w:rsid w:val="00C72CEF"/>
    <w:rsid w:val="00FD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2F23B"/>
  <w15:chartTrackingRefBased/>
  <w15:docId w15:val="{D34EC33B-9BF2-4F95-A4A4-2AA79B34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1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047"/>
    <w:pPr>
      <w:ind w:left="720"/>
      <w:contextualSpacing/>
    </w:pPr>
  </w:style>
  <w:style w:type="character" w:customStyle="1" w:styleId="fontstyle01">
    <w:name w:val="fontstyle01"/>
    <w:basedOn w:val="DefaultParagraphFont"/>
    <w:rsid w:val="007B1047"/>
    <w:rPr>
      <w:rFonts w:ascii="LMRoman10-Bold" w:hAnsi="LMRoman10-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1718</TotalTime>
  <Pages>4</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 Trujillo</dc:creator>
  <cp:keywords/>
  <dc:description/>
  <cp:lastModifiedBy>Vale Trujillo</cp:lastModifiedBy>
  <cp:revision>3</cp:revision>
  <dcterms:created xsi:type="dcterms:W3CDTF">2017-03-13T16:17:00Z</dcterms:created>
  <dcterms:modified xsi:type="dcterms:W3CDTF">2017-03-15T16:50:00Z</dcterms:modified>
</cp:coreProperties>
</file>