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5"/>
        <w:gridCol w:w="2790"/>
        <w:gridCol w:w="5325"/>
        <w:gridCol w:w="1575"/>
        <w:gridCol w:w="1335"/>
        <w:tblGridChange w:id="0">
          <w:tblGrid>
            <w:gridCol w:w="1965"/>
            <w:gridCol w:w="2790"/>
            <w:gridCol w:w="5325"/>
            <w:gridCol w:w="1575"/>
            <w:gridCol w:w="1335"/>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0" w:tblpY="1"/>
        <w:tblW w:w="12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90"/>
        <w:tblGridChange w:id="0">
          <w:tblGrid>
            <w:gridCol w:w="12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ScTL3gAx/Z17B+BIYWYwzCWXA==">CgMxLjA4AHIhMVJMdEp4VEFpMzBwLXpDR2pmcnNBTVl3SEI5Z0VpUGFB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