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0FFF66E5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r w:rsidR="003E5EE7" w:rsidRPr="6C71971D">
        <w:rPr>
          <w:rFonts w:eastAsiaTheme="majorEastAsia"/>
          <w:sz w:val="24"/>
          <w:szCs w:val="24"/>
        </w:rPr>
        <w:t>estudiado</w:t>
      </w:r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47C6992E" w:rsidR="00AC4D77" w:rsidRDefault="0097694A" w:rsidP="0097694A">
            <w:pPr>
              <w:pStyle w:val="Prrafodelista"/>
              <w:tabs>
                <w:tab w:val="left" w:pos="930"/>
              </w:tabs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ab/>
              <w:t>José Ignacio Riquelme Briceño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311890A6" w:rsidR="00AC4D77" w:rsidRDefault="00F80CEB" w:rsidP="00F80CEB">
            <w:pPr>
              <w:pStyle w:val="Prrafodelista"/>
              <w:tabs>
                <w:tab w:val="left" w:pos="1560"/>
              </w:tabs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BA5E05A" w:rsidR="00AC4D77" w:rsidRDefault="00F80CEB" w:rsidP="00F80CEB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2017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511"/>
        <w:gridCol w:w="937"/>
        <w:gridCol w:w="891"/>
        <w:gridCol w:w="1014"/>
        <w:gridCol w:w="1140"/>
        <w:gridCol w:w="855"/>
        <w:gridCol w:w="2575"/>
      </w:tblGrid>
      <w:tr w:rsidR="00E43678" w:rsidRPr="00045D87" w14:paraId="02E8FF2F" w14:textId="77777777" w:rsidTr="0067783E">
        <w:trPr>
          <w:trHeight w:val="288"/>
          <w:jc w:val="center"/>
        </w:trPr>
        <w:tc>
          <w:tcPr>
            <w:tcW w:w="251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4837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75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2B1AB8" w:rsidRPr="00045D87" w14:paraId="00808CBE" w14:textId="77777777" w:rsidTr="0067783E">
        <w:trPr>
          <w:trHeight w:val="870"/>
          <w:jc w:val="center"/>
        </w:trPr>
        <w:tc>
          <w:tcPr>
            <w:tcW w:w="251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93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891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14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40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855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75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2B1AB8" w:rsidRPr="00045D87" w14:paraId="67D60187" w14:textId="77777777" w:rsidTr="0067783E">
        <w:trPr>
          <w:trHeight w:val="591"/>
          <w:jc w:val="center"/>
        </w:trPr>
        <w:tc>
          <w:tcPr>
            <w:tcW w:w="2511" w:type="dxa"/>
          </w:tcPr>
          <w:p w14:paraId="53E45F52" w14:textId="216D144E" w:rsidR="00E43678" w:rsidRPr="001A179D" w:rsidRDefault="003B5DDB" w:rsidP="003B5DDB">
            <w:pPr>
              <w:rPr>
                <w:b/>
                <w:bCs/>
                <w:color w:val="FF0000"/>
                <w:sz w:val="18"/>
                <w:szCs w:val="18"/>
              </w:rPr>
            </w:pPr>
            <w:r w:rsidRPr="003B5DDB">
              <w:rPr>
                <w:b/>
                <w:bCs/>
                <w:sz w:val="18"/>
                <w:szCs w:val="18"/>
              </w:rPr>
              <w:t>Realizar pruebas de certificación tanto de los productos como de los procesos utilizando buenas prácticas definidas por la industria.</w:t>
            </w:r>
          </w:p>
        </w:tc>
        <w:tc>
          <w:tcPr>
            <w:tcW w:w="93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4" w:type="dxa"/>
          </w:tcPr>
          <w:p w14:paraId="1196BA05" w14:textId="0E92E604" w:rsidR="00E43678" w:rsidRPr="00045D87" w:rsidRDefault="007908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40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5" w:type="dxa"/>
          </w:tcPr>
          <w:p w14:paraId="3F20C944" w14:textId="5ABBF54C" w:rsidR="00E43678" w:rsidRPr="00045D87" w:rsidRDefault="00292600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mi percepción siento yo que es mi dominio actual, ya que mi falta de experiencia no me hace percibir del todo las </w:t>
            </w:r>
            <w:r w:rsidR="00A135DB">
              <w:rPr>
                <w:b/>
                <w:bCs/>
                <w:sz w:val="18"/>
                <w:szCs w:val="18"/>
              </w:rPr>
              <w:t>buenas prácticas de la industria actual, no obstante, sé que de requerirse aquello puedo hacer una investigación que cumple con aquello.</w:t>
            </w:r>
          </w:p>
        </w:tc>
      </w:tr>
      <w:tr w:rsidR="002B1AB8" w:rsidRPr="00045D87" w14:paraId="1FD76F12" w14:textId="77777777" w:rsidTr="0067783E">
        <w:trPr>
          <w:trHeight w:val="576"/>
          <w:jc w:val="center"/>
        </w:trPr>
        <w:tc>
          <w:tcPr>
            <w:tcW w:w="2511" w:type="dxa"/>
          </w:tcPr>
          <w:p w14:paraId="28A60675" w14:textId="4333D737" w:rsidR="00E43678" w:rsidRPr="003E5EE7" w:rsidRDefault="00376B0C" w:rsidP="003E5EE7">
            <w:pPr>
              <w:rPr>
                <w:b/>
                <w:bCs/>
                <w:sz w:val="18"/>
                <w:szCs w:val="18"/>
              </w:rPr>
            </w:pPr>
            <w:r w:rsidRPr="003E5EE7">
              <w:rPr>
                <w:b/>
                <w:bCs/>
                <w:sz w:val="18"/>
                <w:szCs w:val="18"/>
              </w:rPr>
              <w:t xml:space="preserve">Gestionar proyectos informáticos, ofreciendo alternativas para la toma de decisiones </w:t>
            </w:r>
            <w:r w:rsidR="003E5EE7" w:rsidRPr="003E5EE7">
              <w:rPr>
                <w:b/>
                <w:bCs/>
                <w:sz w:val="18"/>
                <w:szCs w:val="18"/>
              </w:rPr>
              <w:t>de acuerdo con</w:t>
            </w:r>
            <w:r w:rsidRPr="003E5EE7">
              <w:rPr>
                <w:b/>
                <w:bCs/>
                <w:sz w:val="18"/>
                <w:szCs w:val="18"/>
              </w:rPr>
              <w:t xml:space="preserve"> los requerimientos de la organización.</w:t>
            </w:r>
          </w:p>
        </w:tc>
        <w:tc>
          <w:tcPr>
            <w:tcW w:w="93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</w:tcPr>
          <w:p w14:paraId="66F053F3" w14:textId="77777777" w:rsidR="00E43678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  <w:p w14:paraId="2AB98D2F" w14:textId="2CD18AAA" w:rsidR="007908F3" w:rsidRPr="00045D87" w:rsidRDefault="007908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014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0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5" w:type="dxa"/>
          </w:tcPr>
          <w:p w14:paraId="12D566DA" w14:textId="6D97A328" w:rsidR="00E43678" w:rsidRPr="00045D87" w:rsidRDefault="0023403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que puedo hacer una gestión bastante decente a la hora de llevar a cabo proyectos informáticos, porque en mi ámbito profesional lo estoy haciendo de forma constante. No le doy un Excelente por falta de experiencia.</w:t>
            </w:r>
          </w:p>
        </w:tc>
      </w:tr>
      <w:tr w:rsidR="002B1AB8" w:rsidRPr="00045D87" w14:paraId="48B14194" w14:textId="77777777" w:rsidTr="0067783E">
        <w:trPr>
          <w:trHeight w:val="591"/>
          <w:jc w:val="center"/>
        </w:trPr>
        <w:tc>
          <w:tcPr>
            <w:tcW w:w="2511" w:type="dxa"/>
          </w:tcPr>
          <w:p w14:paraId="1A55186D" w14:textId="150CD76C" w:rsidR="00E43678" w:rsidRPr="003E5EE7" w:rsidRDefault="00125C80" w:rsidP="003E5EE7">
            <w:pPr>
              <w:rPr>
                <w:b/>
                <w:bCs/>
                <w:sz w:val="18"/>
                <w:szCs w:val="18"/>
              </w:rPr>
            </w:pPr>
            <w:r w:rsidRPr="003E5EE7">
              <w:rPr>
                <w:b/>
                <w:bCs/>
                <w:sz w:val="18"/>
                <w:szCs w:val="18"/>
              </w:rPr>
              <w:t xml:space="preserve">Construir modelos de datos para soportar los requerimientos de la organización </w:t>
            </w:r>
            <w:r w:rsidR="003E5EE7" w:rsidRPr="003E5EE7">
              <w:rPr>
                <w:b/>
                <w:bCs/>
                <w:sz w:val="18"/>
                <w:szCs w:val="18"/>
              </w:rPr>
              <w:t>de acuerdo con</w:t>
            </w:r>
            <w:r w:rsidRPr="003E5EE7">
              <w:rPr>
                <w:b/>
                <w:bCs/>
                <w:sz w:val="18"/>
                <w:szCs w:val="18"/>
              </w:rPr>
              <w:t xml:space="preserve"> un diseño definido y escalable en el tiempo.</w:t>
            </w:r>
          </w:p>
        </w:tc>
        <w:tc>
          <w:tcPr>
            <w:tcW w:w="93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</w:tcPr>
          <w:p w14:paraId="214A3D3F" w14:textId="36CE1B02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4" w:type="dxa"/>
          </w:tcPr>
          <w:p w14:paraId="381C69FC" w14:textId="1BEEDAAB" w:rsidR="00E43678" w:rsidRPr="00045D87" w:rsidRDefault="001A46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40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5" w:type="dxa"/>
          </w:tcPr>
          <w:p w14:paraId="16B213E0" w14:textId="1C66D950" w:rsidR="00E43678" w:rsidRPr="00045D87" w:rsidRDefault="001A460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Col</w:t>
            </w:r>
            <w:r w:rsidR="0032670F">
              <w:rPr>
                <w:b/>
                <w:bCs/>
                <w:sz w:val="18"/>
                <w:szCs w:val="18"/>
              </w:rPr>
              <w:t xml:space="preserve">oqué en dominio aceptable ya que, </w:t>
            </w:r>
            <w:r w:rsidR="00BB298E">
              <w:rPr>
                <w:b/>
                <w:bCs/>
                <w:sz w:val="18"/>
                <w:szCs w:val="18"/>
              </w:rPr>
              <w:t>si bien puedo construir modelos de datos</w:t>
            </w:r>
            <w:r w:rsidR="002B1AB8">
              <w:rPr>
                <w:b/>
                <w:bCs/>
                <w:sz w:val="18"/>
                <w:szCs w:val="18"/>
              </w:rPr>
              <w:t xml:space="preserve"> que correspondan con los requerimientos, </w:t>
            </w:r>
            <w:r w:rsidR="00307EDE">
              <w:rPr>
                <w:b/>
                <w:bCs/>
                <w:sz w:val="18"/>
                <w:szCs w:val="18"/>
              </w:rPr>
              <w:t>en mi experiencia, siempre hay pequeños ajustes a estos modelos que no tiendo a considerar</w:t>
            </w:r>
            <w:r w:rsidR="002B1AB8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2B1AB8" w:rsidRPr="00045D87" w14:paraId="24D5593D" w14:textId="77777777" w:rsidTr="0067783E">
        <w:trPr>
          <w:trHeight w:val="591"/>
          <w:jc w:val="center"/>
        </w:trPr>
        <w:tc>
          <w:tcPr>
            <w:tcW w:w="2511" w:type="dxa"/>
          </w:tcPr>
          <w:p w14:paraId="1BB9E155" w14:textId="52D5773D" w:rsidR="00E43678" w:rsidRPr="003E5EE7" w:rsidRDefault="003E5EE7" w:rsidP="003E5EE7">
            <w:pPr>
              <w:rPr>
                <w:b/>
                <w:bCs/>
                <w:sz w:val="18"/>
                <w:szCs w:val="18"/>
              </w:rPr>
            </w:pPr>
            <w:r w:rsidRPr="003E5EE7">
              <w:rPr>
                <w:b/>
                <w:bCs/>
                <w:sz w:val="18"/>
                <w:szCs w:val="18"/>
              </w:rPr>
              <w:t>Desarrollar una solución de software utilizando técnicas que permitan sistematizar el proceso de desarrollo y mantenimiento, asegurando el logro de los objetivos.</w:t>
            </w:r>
          </w:p>
        </w:tc>
        <w:tc>
          <w:tcPr>
            <w:tcW w:w="93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</w:tcPr>
          <w:p w14:paraId="719970B1" w14:textId="7D84F165" w:rsidR="00E43678" w:rsidRPr="00045D87" w:rsidRDefault="007908F3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014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0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5" w:type="dxa"/>
          </w:tcPr>
          <w:p w14:paraId="3BCC39E2" w14:textId="6489231C" w:rsidR="00E43678" w:rsidRPr="00045D87" w:rsidRDefault="008033D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En mi día a día suelo </w:t>
            </w:r>
            <w:r w:rsidR="005E626A">
              <w:rPr>
                <w:b/>
                <w:bCs/>
                <w:sz w:val="18"/>
                <w:szCs w:val="18"/>
              </w:rPr>
              <w:t>realizar esto, no obstante, se que al igual en los puntos anteriores, mi falta de experiencia</w:t>
            </w:r>
            <w:r w:rsidR="0067783E">
              <w:rPr>
                <w:b/>
                <w:bCs/>
                <w:sz w:val="18"/>
                <w:szCs w:val="18"/>
              </w:rPr>
              <w:t xml:space="preserve"> impide de momento a que llegue a un Excelente Dominio.</w:t>
            </w:r>
          </w:p>
        </w:tc>
      </w:tr>
      <w:tr w:rsidR="002B1AB8" w:rsidRPr="00045D87" w14:paraId="530FBD84" w14:textId="77777777" w:rsidTr="0067783E">
        <w:trPr>
          <w:trHeight w:val="576"/>
          <w:jc w:val="center"/>
        </w:trPr>
        <w:tc>
          <w:tcPr>
            <w:tcW w:w="251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3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91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4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40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855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75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E2627" w14:textId="77777777" w:rsidR="00F63490" w:rsidRDefault="00F63490" w:rsidP="00DF38AE">
      <w:pPr>
        <w:spacing w:after="0" w:line="240" w:lineRule="auto"/>
      </w:pPr>
      <w:r>
        <w:separator/>
      </w:r>
    </w:p>
  </w:endnote>
  <w:endnote w:type="continuationSeparator" w:id="0">
    <w:p w14:paraId="007106F4" w14:textId="77777777" w:rsidR="00F63490" w:rsidRDefault="00F6349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22B8194" w14:textId="77777777" w:rsidR="00F63490" w:rsidRDefault="00F63490" w:rsidP="00DF38AE">
      <w:pPr>
        <w:spacing w:after="0" w:line="240" w:lineRule="auto"/>
      </w:pPr>
      <w:r>
        <w:separator/>
      </w:r>
    </w:p>
  </w:footnote>
  <w:footnote w:type="continuationSeparator" w:id="0">
    <w:p w14:paraId="7A2A8D0A" w14:textId="77777777" w:rsidR="00F63490" w:rsidRDefault="00F6349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5807314">
    <w:abstractNumId w:val="3"/>
  </w:num>
  <w:num w:numId="2" w16cid:durableId="880750822">
    <w:abstractNumId w:val="9"/>
  </w:num>
  <w:num w:numId="3" w16cid:durableId="1592541097">
    <w:abstractNumId w:val="13"/>
  </w:num>
  <w:num w:numId="4" w16cid:durableId="453790882">
    <w:abstractNumId w:val="29"/>
  </w:num>
  <w:num w:numId="5" w16cid:durableId="572011396">
    <w:abstractNumId w:val="31"/>
  </w:num>
  <w:num w:numId="6" w16cid:durableId="345641785">
    <w:abstractNumId w:val="4"/>
  </w:num>
  <w:num w:numId="7" w16cid:durableId="126238964">
    <w:abstractNumId w:val="12"/>
  </w:num>
  <w:num w:numId="8" w16cid:durableId="412360807">
    <w:abstractNumId w:val="20"/>
  </w:num>
  <w:num w:numId="9" w16cid:durableId="1310284803">
    <w:abstractNumId w:val="16"/>
  </w:num>
  <w:num w:numId="10" w16cid:durableId="1657489002">
    <w:abstractNumId w:val="10"/>
  </w:num>
  <w:num w:numId="11" w16cid:durableId="1034306992">
    <w:abstractNumId w:val="25"/>
  </w:num>
  <w:num w:numId="12" w16cid:durableId="1597327256">
    <w:abstractNumId w:val="36"/>
  </w:num>
  <w:num w:numId="13" w16cid:durableId="2140609889">
    <w:abstractNumId w:val="30"/>
  </w:num>
  <w:num w:numId="14" w16cid:durableId="2038580510">
    <w:abstractNumId w:val="1"/>
  </w:num>
  <w:num w:numId="15" w16cid:durableId="866413332">
    <w:abstractNumId w:val="37"/>
  </w:num>
  <w:num w:numId="16" w16cid:durableId="1801073910">
    <w:abstractNumId w:val="22"/>
  </w:num>
  <w:num w:numId="17" w16cid:durableId="1886020467">
    <w:abstractNumId w:val="18"/>
  </w:num>
  <w:num w:numId="18" w16cid:durableId="734401802">
    <w:abstractNumId w:val="32"/>
  </w:num>
  <w:num w:numId="19" w16cid:durableId="514659457">
    <w:abstractNumId w:val="11"/>
  </w:num>
  <w:num w:numId="20" w16cid:durableId="671302570">
    <w:abstractNumId w:val="40"/>
  </w:num>
  <w:num w:numId="21" w16cid:durableId="1351108576">
    <w:abstractNumId w:val="35"/>
  </w:num>
  <w:num w:numId="22" w16cid:durableId="1216240777">
    <w:abstractNumId w:val="14"/>
  </w:num>
  <w:num w:numId="23" w16cid:durableId="931743371">
    <w:abstractNumId w:val="15"/>
  </w:num>
  <w:num w:numId="24" w16cid:durableId="1374034533">
    <w:abstractNumId w:val="5"/>
  </w:num>
  <w:num w:numId="25" w16cid:durableId="1263369269">
    <w:abstractNumId w:val="17"/>
  </w:num>
  <w:num w:numId="26" w16cid:durableId="245920383">
    <w:abstractNumId w:val="21"/>
  </w:num>
  <w:num w:numId="27" w16cid:durableId="188641413">
    <w:abstractNumId w:val="24"/>
  </w:num>
  <w:num w:numId="28" w16cid:durableId="241910398">
    <w:abstractNumId w:val="0"/>
  </w:num>
  <w:num w:numId="29" w16cid:durableId="1425807907">
    <w:abstractNumId w:val="19"/>
  </w:num>
  <w:num w:numId="30" w16cid:durableId="1179395400">
    <w:abstractNumId w:val="23"/>
  </w:num>
  <w:num w:numId="31" w16cid:durableId="1415930726">
    <w:abstractNumId w:val="2"/>
  </w:num>
  <w:num w:numId="32" w16cid:durableId="187375447">
    <w:abstractNumId w:val="7"/>
  </w:num>
  <w:num w:numId="33" w16cid:durableId="1737507203">
    <w:abstractNumId w:val="33"/>
  </w:num>
  <w:num w:numId="34" w16cid:durableId="142040117">
    <w:abstractNumId w:val="39"/>
  </w:num>
  <w:num w:numId="35" w16cid:durableId="211888082">
    <w:abstractNumId w:val="6"/>
  </w:num>
  <w:num w:numId="36" w16cid:durableId="676659622">
    <w:abstractNumId w:val="26"/>
  </w:num>
  <w:num w:numId="37" w16cid:durableId="150104505">
    <w:abstractNumId w:val="38"/>
  </w:num>
  <w:num w:numId="38" w16cid:durableId="50471757">
    <w:abstractNumId w:val="28"/>
  </w:num>
  <w:num w:numId="39" w16cid:durableId="421420158">
    <w:abstractNumId w:val="27"/>
  </w:num>
  <w:num w:numId="40" w16cid:durableId="2028292720">
    <w:abstractNumId w:val="34"/>
  </w:num>
  <w:num w:numId="41" w16cid:durableId="1785419633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C80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460A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403B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2600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1AB8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07EDE"/>
    <w:rsid w:val="003141C6"/>
    <w:rsid w:val="00315939"/>
    <w:rsid w:val="003161F9"/>
    <w:rsid w:val="00317C12"/>
    <w:rsid w:val="003215E5"/>
    <w:rsid w:val="00322831"/>
    <w:rsid w:val="0032670F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6B0C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5DDB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5EE7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0E3F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26A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3E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8F3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DA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756D9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94A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5DB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298E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91F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5B2A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278A1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0CEB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A0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  <ds:schemaRef ds:uri="322f9391-964b-48b6-b3b0-13a7ac8a75d6"/>
    <ds:schemaRef ds:uri="c2ef7064-63f7-4dcd-87f2-3580cf294d1c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522</Words>
  <Characters>2873</Characters>
  <Application>Microsoft Office Word</Application>
  <DocSecurity>0</DocSecurity>
  <Lines>23</Lines>
  <Paragraphs>6</Paragraphs>
  <ScaleCrop>false</ScaleCrop>
  <Company>Wal-Mart Stores, Inc.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José Riquelme</cp:lastModifiedBy>
  <cp:revision>45</cp:revision>
  <cp:lastPrinted>2019-12-16T20:10:00Z</cp:lastPrinted>
  <dcterms:created xsi:type="dcterms:W3CDTF">2022-02-07T13:42:00Z</dcterms:created>
  <dcterms:modified xsi:type="dcterms:W3CDTF">2024-09-07T03:21:00Z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